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41"/>
        <w:tblW w:w="10478" w:type="dxa"/>
        <w:tblLook w:val="01E0" w:firstRow="1" w:lastRow="1" w:firstColumn="1" w:lastColumn="1" w:noHBand="0" w:noVBand="0"/>
      </w:tblPr>
      <w:tblGrid>
        <w:gridCol w:w="10478"/>
      </w:tblGrid>
      <w:tr w:rsidR="00BE6588" w:rsidRPr="00F27FA2" w14:paraId="74FB8B47" w14:textId="77777777" w:rsidTr="00BE6588">
        <w:trPr>
          <w:trHeight w:val="2478"/>
        </w:trPr>
        <w:tc>
          <w:tcPr>
            <w:tcW w:w="10478" w:type="dxa"/>
            <w:vAlign w:val="center"/>
          </w:tcPr>
          <w:p w14:paraId="4DAFA166"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bookmarkStart w:id="0" w:name="_Hlk220316865"/>
            <w:bookmarkStart w:id="1" w:name="OLE_LINK3"/>
            <w:bookmarkStart w:id="2" w:name="OLE_LINK1"/>
            <w:bookmarkStart w:id="3" w:name="OLE_LINK2"/>
            <w:bookmarkStart w:id="4" w:name="OLE_LINK6"/>
            <w:bookmarkEnd w:id="0"/>
            <w:r w:rsidRPr="00F27FA2">
              <w:rPr>
                <w:rFonts w:ascii="Times New Roman" w:eastAsia="MS Mincho" w:hAnsi="Times New Roman" w:cs="Times New Roman"/>
                <w:noProof/>
                <w:sz w:val="24"/>
                <w:szCs w:val="24"/>
              </w:rPr>
              <w:drawing>
                <wp:inline distT="0" distB="0" distL="0" distR="0" wp14:anchorId="6C23F606" wp14:editId="3AA22F07">
                  <wp:extent cx="660810" cy="723900"/>
                  <wp:effectExtent l="0" t="0" r="6350" b="0"/>
                  <wp:docPr id="7" name="Picture 7"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_JPG"/>
                          <pic:cNvPicPr>
                            <a:picLocks noChangeAspect="1" noChangeArrowheads="1"/>
                          </pic:cNvPicPr>
                        </pic:nvPicPr>
                        <pic:blipFill>
                          <a:blip r:embed="rId8"/>
                          <a:srcRect/>
                          <a:stretch>
                            <a:fillRect/>
                          </a:stretch>
                        </pic:blipFill>
                        <pic:spPr bwMode="auto">
                          <a:xfrm>
                            <a:off x="0" y="0"/>
                            <a:ext cx="665589" cy="729135"/>
                          </a:xfrm>
                          <a:prstGeom prst="rect">
                            <a:avLst/>
                          </a:prstGeom>
                          <a:noFill/>
                          <a:ln w="9525">
                            <a:noFill/>
                            <a:miter lim="800000"/>
                            <a:headEnd/>
                            <a:tailEnd/>
                          </a:ln>
                        </pic:spPr>
                      </pic:pic>
                    </a:graphicData>
                  </a:graphic>
                </wp:inline>
              </w:drawing>
            </w:r>
          </w:p>
          <w:p w14:paraId="65CFAC41"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p>
          <w:p w14:paraId="6B103086"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r w:rsidRPr="00F27FA2">
              <w:rPr>
                <w:rFonts w:ascii="Times New Roman" w:eastAsia="MS Mincho" w:hAnsi="Times New Roman" w:cs="Times New Roman"/>
                <w:noProof/>
                <w:sz w:val="24"/>
                <w:szCs w:val="24"/>
              </w:rPr>
              <w:t>Republika e Kosovës</w:t>
            </w:r>
          </w:p>
          <w:p w14:paraId="672268A2"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r w:rsidRPr="00F27FA2">
              <w:rPr>
                <w:rFonts w:ascii="Times New Roman" w:eastAsia="MS Mincho" w:hAnsi="Times New Roman" w:cs="Times New Roman"/>
                <w:noProof/>
                <w:sz w:val="24"/>
                <w:szCs w:val="24"/>
              </w:rPr>
              <w:t>Republika Kosova-Republic of Kosovo</w:t>
            </w:r>
          </w:p>
          <w:p w14:paraId="2E14F4AE"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p>
        </w:tc>
      </w:tr>
      <w:tr w:rsidR="00BE6588" w:rsidRPr="00F27FA2" w14:paraId="1AF670BF" w14:textId="77777777" w:rsidTr="00BE6588">
        <w:trPr>
          <w:trHeight w:val="4025"/>
        </w:trPr>
        <w:tc>
          <w:tcPr>
            <w:tcW w:w="10478" w:type="dxa"/>
            <w:vAlign w:val="center"/>
          </w:tcPr>
          <w:p w14:paraId="711B1B5A"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p>
          <w:p w14:paraId="37F52F93"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p>
          <w:p w14:paraId="542EF930"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p>
          <w:p w14:paraId="291A77A9"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p>
          <w:p w14:paraId="776D6456"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r w:rsidRPr="00F27FA2">
              <w:rPr>
                <w:rFonts w:ascii="Times New Roman" w:eastAsia="MS Mincho" w:hAnsi="Times New Roman" w:cs="Times New Roman"/>
                <w:noProof/>
                <w:sz w:val="24"/>
                <w:szCs w:val="24"/>
              </w:rPr>
              <w:drawing>
                <wp:inline distT="0" distB="0" distL="0" distR="0" wp14:anchorId="7AF2FA47" wp14:editId="567874B8">
                  <wp:extent cx="62865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809625"/>
                          </a:xfrm>
                          <a:prstGeom prst="rect">
                            <a:avLst/>
                          </a:prstGeom>
                          <a:noFill/>
                        </pic:spPr>
                      </pic:pic>
                    </a:graphicData>
                  </a:graphic>
                </wp:inline>
              </w:drawing>
            </w:r>
          </w:p>
          <w:p w14:paraId="3AAF1E32"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p>
          <w:p w14:paraId="6B262DD1" w14:textId="6B3F2DBC" w:rsidR="00BE6588" w:rsidRPr="00F27FA2" w:rsidRDefault="00BE6588" w:rsidP="00BE6588">
            <w:pPr>
              <w:spacing w:after="0" w:line="240" w:lineRule="auto"/>
              <w:jc w:val="center"/>
              <w:rPr>
                <w:rFonts w:ascii="Times New Roman" w:eastAsia="MS Mincho" w:hAnsi="Times New Roman" w:cs="Times New Roman"/>
                <w:noProof/>
                <w:sz w:val="24"/>
                <w:szCs w:val="24"/>
              </w:rPr>
            </w:pPr>
            <w:r w:rsidRPr="00F27FA2">
              <w:rPr>
                <w:rFonts w:ascii="Times New Roman" w:eastAsia="MS Mincho" w:hAnsi="Times New Roman" w:cs="Times New Roman"/>
                <w:noProof/>
                <w:sz w:val="24"/>
                <w:szCs w:val="24"/>
              </w:rPr>
              <w:t>KOMUNA  SKENDERAJ</w:t>
            </w:r>
          </w:p>
          <w:p w14:paraId="32B899F8" w14:textId="1EC94128" w:rsidR="00BE6588" w:rsidRPr="00F27FA2" w:rsidRDefault="001500D9" w:rsidP="00BE6588">
            <w:pPr>
              <w:spacing w:after="0" w:line="240" w:lineRule="auto"/>
              <w:jc w:val="center"/>
              <w:rPr>
                <w:rFonts w:ascii="Times New Roman" w:eastAsia="MS Mincho" w:hAnsi="Times New Roman" w:cs="Times New Roman"/>
                <w:noProof/>
                <w:sz w:val="24"/>
                <w:szCs w:val="24"/>
              </w:rPr>
            </w:pPr>
            <w:r w:rsidRPr="00F27FA2">
              <w:rPr>
                <w:rFonts w:ascii="Times New Roman" w:eastAsia="MS Mincho" w:hAnsi="Times New Roman" w:cs="Times New Roman"/>
                <w:noProof/>
                <w:sz w:val="24"/>
                <w:szCs w:val="24"/>
              </w:rPr>
              <w:t>2026</w:t>
            </w:r>
          </w:p>
          <w:p w14:paraId="6EF7A06C"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p>
          <w:p w14:paraId="2CD24D91"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p>
        </w:tc>
      </w:tr>
      <w:tr w:rsidR="00BE6588" w:rsidRPr="00F27FA2" w14:paraId="47C14780" w14:textId="77777777" w:rsidTr="00BE6588">
        <w:trPr>
          <w:trHeight w:val="353"/>
        </w:trPr>
        <w:tc>
          <w:tcPr>
            <w:tcW w:w="10478" w:type="dxa"/>
            <w:vAlign w:val="center"/>
          </w:tcPr>
          <w:p w14:paraId="7B500448" w14:textId="77777777" w:rsidR="00BE6588" w:rsidRPr="00F27FA2" w:rsidRDefault="00BE6588" w:rsidP="00BE6588">
            <w:pPr>
              <w:spacing w:after="0" w:line="240" w:lineRule="auto"/>
              <w:jc w:val="center"/>
              <w:rPr>
                <w:rFonts w:ascii="Times New Roman" w:eastAsia="MS Mincho" w:hAnsi="Times New Roman" w:cs="Times New Roman"/>
                <w:noProof/>
                <w:sz w:val="24"/>
                <w:szCs w:val="24"/>
              </w:rPr>
            </w:pPr>
          </w:p>
        </w:tc>
      </w:tr>
      <w:tr w:rsidR="00BE6588" w:rsidRPr="00F27FA2" w14:paraId="37CDC5A4" w14:textId="77777777" w:rsidTr="00BE6588">
        <w:trPr>
          <w:trHeight w:val="353"/>
        </w:trPr>
        <w:tc>
          <w:tcPr>
            <w:tcW w:w="10478" w:type="dxa"/>
            <w:vAlign w:val="center"/>
          </w:tcPr>
          <w:p w14:paraId="5CE0D164" w14:textId="77777777" w:rsidR="00BE6588" w:rsidRPr="00F27FA2" w:rsidRDefault="00BE6588" w:rsidP="00BE6588">
            <w:pPr>
              <w:pStyle w:val="BodyText"/>
              <w:spacing w:line="264" w:lineRule="auto"/>
            </w:pPr>
          </w:p>
        </w:tc>
      </w:tr>
    </w:tbl>
    <w:bookmarkEnd w:id="1"/>
    <w:p w14:paraId="2242931B" w14:textId="78D8DAFB" w:rsidR="00D1743A" w:rsidRPr="00F27FA2" w:rsidRDefault="00D1743A" w:rsidP="00D1743A">
      <w:pPr>
        <w:rPr>
          <w:rFonts w:ascii="Times New Roman" w:hAnsi="Times New Roman" w:cs="Times New Roman"/>
          <w:sz w:val="24"/>
          <w:szCs w:val="24"/>
        </w:rPr>
      </w:pPr>
      <w:r w:rsidRPr="00F27FA2">
        <w:rPr>
          <w:rFonts w:ascii="Times New Roman" w:hAnsi="Times New Roman" w:cs="Times New Roman"/>
          <w:sz w:val="24"/>
          <w:szCs w:val="24"/>
        </w:rPr>
        <w:t xml:space="preserve">   </w:t>
      </w:r>
    </w:p>
    <w:p w14:paraId="0A6B67B2" w14:textId="77777777" w:rsidR="00D1743A" w:rsidRPr="00F27FA2" w:rsidRDefault="00D1743A" w:rsidP="00D1743A">
      <w:pPr>
        <w:rPr>
          <w:rFonts w:ascii="Times New Roman" w:hAnsi="Times New Roman" w:cs="Times New Roman"/>
          <w:sz w:val="24"/>
          <w:szCs w:val="24"/>
        </w:rPr>
      </w:pPr>
    </w:p>
    <w:p w14:paraId="5575D089" w14:textId="77777777" w:rsidR="00D1743A" w:rsidRPr="00F27FA2" w:rsidRDefault="00D1743A" w:rsidP="00D1743A">
      <w:pPr>
        <w:jc w:val="center"/>
        <w:rPr>
          <w:rFonts w:ascii="Times New Roman" w:hAnsi="Times New Roman" w:cs="Times New Roman"/>
          <w:sz w:val="24"/>
          <w:szCs w:val="24"/>
        </w:rPr>
      </w:pPr>
    </w:p>
    <w:p w14:paraId="01BE1233" w14:textId="509D6BBF" w:rsidR="00D1743A" w:rsidRPr="0015069B" w:rsidRDefault="00D1743A" w:rsidP="0015069B">
      <w:pPr>
        <w:spacing w:after="360"/>
        <w:jc w:val="center"/>
        <w:rPr>
          <w:rFonts w:ascii="Times New Roman" w:hAnsi="Times New Roman" w:cs="Times New Roman"/>
          <w:b/>
          <w:color w:val="365F91"/>
          <w:sz w:val="40"/>
          <w:szCs w:val="40"/>
        </w:rPr>
      </w:pPr>
      <w:proofErr w:type="spellStart"/>
      <w:r w:rsidRPr="0015069B">
        <w:rPr>
          <w:rFonts w:ascii="Times New Roman" w:hAnsi="Times New Roman" w:cs="Times New Roman"/>
          <w:b/>
          <w:sz w:val="40"/>
          <w:szCs w:val="40"/>
        </w:rPr>
        <w:t>Raporti</w:t>
      </w:r>
      <w:proofErr w:type="spellEnd"/>
      <w:r w:rsidRPr="0015069B">
        <w:rPr>
          <w:rFonts w:ascii="Times New Roman" w:hAnsi="Times New Roman" w:cs="Times New Roman"/>
          <w:b/>
          <w:sz w:val="40"/>
          <w:szCs w:val="40"/>
        </w:rPr>
        <w:t xml:space="preserve"> </w:t>
      </w:r>
      <w:proofErr w:type="spellStart"/>
      <w:r w:rsidRPr="0015069B">
        <w:rPr>
          <w:rFonts w:ascii="Times New Roman" w:hAnsi="Times New Roman" w:cs="Times New Roman"/>
          <w:b/>
          <w:sz w:val="40"/>
          <w:szCs w:val="40"/>
        </w:rPr>
        <w:t>Financiar</w:t>
      </w:r>
      <w:proofErr w:type="spellEnd"/>
      <w:r w:rsidRPr="0015069B">
        <w:rPr>
          <w:rFonts w:ascii="Times New Roman" w:hAnsi="Times New Roman" w:cs="Times New Roman"/>
          <w:b/>
          <w:sz w:val="40"/>
          <w:szCs w:val="40"/>
        </w:rPr>
        <w:t xml:space="preserve"> </w:t>
      </w:r>
      <w:proofErr w:type="spellStart"/>
      <w:r w:rsidRPr="0015069B">
        <w:rPr>
          <w:rFonts w:ascii="Times New Roman" w:hAnsi="Times New Roman" w:cs="Times New Roman"/>
          <w:b/>
          <w:sz w:val="40"/>
          <w:szCs w:val="40"/>
        </w:rPr>
        <w:t>Janar</w:t>
      </w:r>
      <w:proofErr w:type="spellEnd"/>
      <w:r w:rsidRPr="0015069B">
        <w:rPr>
          <w:rFonts w:ascii="Times New Roman" w:hAnsi="Times New Roman" w:cs="Times New Roman"/>
          <w:b/>
          <w:sz w:val="40"/>
          <w:szCs w:val="40"/>
        </w:rPr>
        <w:t xml:space="preserve"> – </w:t>
      </w:r>
      <w:r w:rsidR="00242618" w:rsidRPr="0015069B">
        <w:rPr>
          <w:rFonts w:ascii="Times New Roman" w:hAnsi="Times New Roman" w:cs="Times New Roman"/>
          <w:b/>
          <w:sz w:val="40"/>
          <w:szCs w:val="40"/>
        </w:rPr>
        <w:t>Mars</w:t>
      </w:r>
      <w:r w:rsidRPr="0015069B">
        <w:rPr>
          <w:rFonts w:ascii="Times New Roman" w:hAnsi="Times New Roman" w:cs="Times New Roman"/>
          <w:b/>
          <w:sz w:val="40"/>
          <w:szCs w:val="40"/>
        </w:rPr>
        <w:t xml:space="preserve"> 202</w:t>
      </w:r>
      <w:r w:rsidR="00242618" w:rsidRPr="0015069B">
        <w:rPr>
          <w:rFonts w:ascii="Times New Roman" w:hAnsi="Times New Roman" w:cs="Times New Roman"/>
          <w:b/>
          <w:sz w:val="40"/>
          <w:szCs w:val="40"/>
        </w:rPr>
        <w:t>6</w:t>
      </w:r>
    </w:p>
    <w:p w14:paraId="30B1B1EC" w14:textId="77777777" w:rsidR="00405066" w:rsidRPr="00F27FA2" w:rsidRDefault="00405066" w:rsidP="00DD0602">
      <w:pPr>
        <w:widowControl w:val="0"/>
        <w:autoSpaceDE w:val="0"/>
        <w:autoSpaceDN w:val="0"/>
        <w:adjustRightInd w:val="0"/>
        <w:spacing w:after="0" w:line="283" w:lineRule="exact"/>
        <w:rPr>
          <w:rFonts w:ascii="Times New Roman" w:eastAsia="Times New Roman" w:hAnsi="Times New Roman" w:cs="Times New Roman"/>
          <w:sz w:val="24"/>
          <w:szCs w:val="24"/>
          <w:lang w:val="sq-AL"/>
        </w:rPr>
      </w:pPr>
    </w:p>
    <w:p w14:paraId="2C036B77" w14:textId="77777777" w:rsidR="00405066" w:rsidRPr="00F27FA2" w:rsidRDefault="00405066" w:rsidP="00DD0602">
      <w:pPr>
        <w:widowControl w:val="0"/>
        <w:autoSpaceDE w:val="0"/>
        <w:autoSpaceDN w:val="0"/>
        <w:adjustRightInd w:val="0"/>
        <w:spacing w:after="0" w:line="283" w:lineRule="exact"/>
        <w:rPr>
          <w:rFonts w:ascii="Times New Roman" w:eastAsia="Times New Roman" w:hAnsi="Times New Roman" w:cs="Times New Roman"/>
          <w:sz w:val="24"/>
          <w:szCs w:val="24"/>
          <w:lang w:val="sq-AL"/>
        </w:rPr>
      </w:pPr>
    </w:p>
    <w:p w14:paraId="56339982" w14:textId="77777777" w:rsidR="00D1743A" w:rsidRPr="00F27FA2" w:rsidRDefault="00D1743A" w:rsidP="00D1743A">
      <w:pPr>
        <w:widowControl w:val="0"/>
        <w:autoSpaceDE w:val="0"/>
        <w:autoSpaceDN w:val="0"/>
        <w:adjustRightInd w:val="0"/>
        <w:spacing w:after="0" w:line="240" w:lineRule="auto"/>
        <w:rPr>
          <w:rFonts w:ascii="Times New Roman" w:eastAsia="Times New Roman" w:hAnsi="Times New Roman" w:cs="Times New Roman"/>
          <w:sz w:val="24"/>
          <w:szCs w:val="24"/>
          <w:lang w:val="sq-AL"/>
        </w:rPr>
      </w:pPr>
      <w:r w:rsidRPr="00F27FA2">
        <w:rPr>
          <w:rFonts w:ascii="Times New Roman" w:eastAsia="Times New Roman" w:hAnsi="Times New Roman" w:cs="Times New Roman"/>
          <w:sz w:val="24"/>
          <w:szCs w:val="24"/>
          <w:lang w:val="sq-AL"/>
        </w:rPr>
        <w:t xml:space="preserve">                                                         </w:t>
      </w:r>
    </w:p>
    <w:p w14:paraId="34176F7B" w14:textId="77777777" w:rsidR="00D1743A" w:rsidRPr="00F27FA2" w:rsidRDefault="00D1743A" w:rsidP="00D1743A">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1D7341C5" w14:textId="77777777" w:rsidR="00D1743A" w:rsidRPr="00F27FA2" w:rsidRDefault="00D1743A" w:rsidP="00D1743A">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6A3828AA" w14:textId="77AEFE83" w:rsidR="00405066" w:rsidRPr="00F27FA2" w:rsidRDefault="00D1743A" w:rsidP="00D1743A">
      <w:pPr>
        <w:widowControl w:val="0"/>
        <w:autoSpaceDE w:val="0"/>
        <w:autoSpaceDN w:val="0"/>
        <w:adjustRightInd w:val="0"/>
        <w:spacing w:after="0" w:line="240" w:lineRule="auto"/>
        <w:rPr>
          <w:rFonts w:ascii="Times New Roman" w:eastAsia="Times New Roman" w:hAnsi="Times New Roman" w:cs="Times New Roman"/>
          <w:sz w:val="24"/>
          <w:szCs w:val="24"/>
          <w:lang w:val="sq-AL"/>
        </w:rPr>
      </w:pPr>
      <w:r w:rsidRPr="00F27FA2">
        <w:rPr>
          <w:rFonts w:ascii="Times New Roman" w:eastAsia="Times New Roman" w:hAnsi="Times New Roman" w:cs="Times New Roman"/>
          <w:sz w:val="24"/>
          <w:szCs w:val="24"/>
          <w:lang w:val="sq-AL"/>
        </w:rPr>
        <w:t xml:space="preserve">                                                                       </w:t>
      </w:r>
    </w:p>
    <w:p w14:paraId="7510F8C0" w14:textId="2723E5F9" w:rsidR="00D1743A" w:rsidRPr="00F27FA2" w:rsidRDefault="00D1743A" w:rsidP="00D1743A">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273A3DA0" w14:textId="0C81441E" w:rsidR="00D1743A" w:rsidRPr="00F27FA2" w:rsidRDefault="00997079" w:rsidP="00D1743A">
      <w:pPr>
        <w:widowControl w:val="0"/>
        <w:autoSpaceDE w:val="0"/>
        <w:autoSpaceDN w:val="0"/>
        <w:adjustRightInd w:val="0"/>
        <w:spacing w:after="0" w:line="240" w:lineRule="auto"/>
        <w:rPr>
          <w:rFonts w:ascii="Times New Roman" w:eastAsia="Times New Roman" w:hAnsi="Times New Roman" w:cs="Times New Roman"/>
          <w:sz w:val="24"/>
          <w:szCs w:val="24"/>
          <w:lang w:val="sq-AL"/>
        </w:rPr>
      </w:pPr>
      <w:r w:rsidRPr="00F27FA2">
        <w:rPr>
          <w:rFonts w:ascii="Times New Roman" w:eastAsia="Times New Roman" w:hAnsi="Times New Roman" w:cs="Times New Roman"/>
          <w:sz w:val="24"/>
          <w:szCs w:val="24"/>
          <w:lang w:val="sq-AL"/>
        </w:rPr>
        <w:t xml:space="preserve">                                                                               </w:t>
      </w:r>
    </w:p>
    <w:sdt>
      <w:sdtPr>
        <w:rPr>
          <w:rFonts w:ascii="Times New Roman" w:eastAsiaTheme="minorHAnsi" w:hAnsi="Times New Roman" w:cs="Times New Roman"/>
          <w:b w:val="0"/>
          <w:bCs w:val="0"/>
          <w:color w:val="auto"/>
          <w:sz w:val="24"/>
          <w:szCs w:val="24"/>
          <w:lang w:eastAsia="en-US"/>
        </w:rPr>
        <w:id w:val="334124691"/>
        <w:docPartObj>
          <w:docPartGallery w:val="Table of Contents"/>
          <w:docPartUnique/>
        </w:docPartObj>
      </w:sdtPr>
      <w:sdtEndPr>
        <w:rPr>
          <w:noProof/>
        </w:rPr>
      </w:sdtEndPr>
      <w:sdtContent>
        <w:p w14:paraId="077CF9C2" w14:textId="09B541AD" w:rsidR="007563DD" w:rsidRPr="00F27FA2" w:rsidRDefault="006166EB">
          <w:pPr>
            <w:pStyle w:val="TOCHeading"/>
            <w:rPr>
              <w:rFonts w:ascii="Times New Roman" w:hAnsi="Times New Roman" w:cs="Times New Roman"/>
              <w:color w:val="auto"/>
              <w:sz w:val="24"/>
              <w:szCs w:val="24"/>
            </w:rPr>
          </w:pPr>
          <w:proofErr w:type="spellStart"/>
          <w:r w:rsidRPr="00F27FA2">
            <w:rPr>
              <w:rFonts w:ascii="Times New Roman" w:hAnsi="Times New Roman" w:cs="Times New Roman"/>
              <w:color w:val="auto"/>
              <w:sz w:val="24"/>
              <w:szCs w:val="24"/>
            </w:rPr>
            <w:t>Pë</w:t>
          </w:r>
          <w:r w:rsidR="007563DD" w:rsidRPr="00F27FA2">
            <w:rPr>
              <w:rFonts w:ascii="Times New Roman" w:hAnsi="Times New Roman" w:cs="Times New Roman"/>
              <w:color w:val="auto"/>
              <w:sz w:val="24"/>
              <w:szCs w:val="24"/>
            </w:rPr>
            <w:t>rmbajtja</w:t>
          </w:r>
          <w:proofErr w:type="spellEnd"/>
          <w:r w:rsidR="007563DD" w:rsidRPr="00F27FA2">
            <w:rPr>
              <w:rFonts w:ascii="Times New Roman" w:hAnsi="Times New Roman" w:cs="Times New Roman"/>
              <w:color w:val="auto"/>
              <w:sz w:val="24"/>
              <w:szCs w:val="24"/>
            </w:rPr>
            <w:t>:</w:t>
          </w:r>
        </w:p>
        <w:p w14:paraId="60864A29" w14:textId="77777777" w:rsidR="007563DD" w:rsidRPr="00F27FA2" w:rsidRDefault="007563DD" w:rsidP="007563DD">
          <w:pPr>
            <w:rPr>
              <w:rFonts w:ascii="Times New Roman" w:hAnsi="Times New Roman" w:cs="Times New Roman"/>
              <w:sz w:val="24"/>
              <w:szCs w:val="24"/>
              <w:lang w:eastAsia="ja-JP"/>
            </w:rPr>
          </w:pPr>
        </w:p>
        <w:p w14:paraId="1AD7FA10" w14:textId="77777777" w:rsidR="007563DD" w:rsidRPr="00F27FA2" w:rsidRDefault="007563DD" w:rsidP="007563DD">
          <w:pPr>
            <w:rPr>
              <w:rFonts w:ascii="Times New Roman" w:hAnsi="Times New Roman" w:cs="Times New Roman"/>
              <w:sz w:val="24"/>
              <w:szCs w:val="24"/>
              <w:lang w:eastAsia="ja-JP"/>
            </w:rPr>
          </w:pPr>
        </w:p>
        <w:p w14:paraId="6AA0F241" w14:textId="77777777" w:rsidR="007563DD" w:rsidRPr="00F27FA2" w:rsidRDefault="007563DD" w:rsidP="00296F28">
          <w:pPr>
            <w:pStyle w:val="TOC2"/>
            <w:tabs>
              <w:tab w:val="left" w:pos="660"/>
              <w:tab w:val="right" w:leader="dot" w:pos="9343"/>
            </w:tabs>
            <w:rPr>
              <w:rStyle w:val="Hyperlink"/>
              <w:rFonts w:ascii="Times New Roman" w:hAnsi="Times New Roman" w:cs="Times New Roman"/>
              <w:noProof/>
              <w:color w:val="auto"/>
              <w:sz w:val="24"/>
              <w:szCs w:val="24"/>
              <w:u w:val="none"/>
              <w:lang w:val="sq-AL"/>
            </w:rPr>
          </w:pPr>
        </w:p>
        <w:p w14:paraId="3B7A9B87" w14:textId="1DBE89CE" w:rsidR="002E6848" w:rsidRPr="00F27FA2" w:rsidRDefault="00296F28" w:rsidP="006166EB">
          <w:pPr>
            <w:pStyle w:val="TOC2"/>
            <w:tabs>
              <w:tab w:val="left" w:pos="660"/>
              <w:tab w:val="right" w:leader="dot" w:pos="9343"/>
            </w:tabs>
            <w:rPr>
              <w:rStyle w:val="Hyperlink"/>
              <w:rFonts w:ascii="Times New Roman" w:hAnsi="Times New Roman" w:cs="Times New Roman"/>
              <w:noProof/>
              <w:color w:val="auto"/>
              <w:sz w:val="24"/>
              <w:szCs w:val="24"/>
              <w:u w:val="none"/>
              <w:lang w:val="sq-AL"/>
            </w:rPr>
          </w:pPr>
          <w:r w:rsidRPr="00F27FA2">
            <w:rPr>
              <w:rStyle w:val="Hyperlink"/>
              <w:rFonts w:ascii="Times New Roman" w:hAnsi="Times New Roman" w:cs="Times New Roman"/>
              <w:noProof/>
              <w:color w:val="auto"/>
              <w:sz w:val="24"/>
              <w:szCs w:val="24"/>
              <w:u w:val="none"/>
              <w:lang w:val="sq-AL"/>
            </w:rPr>
            <w:t>R</w:t>
          </w:r>
          <w:r w:rsidR="00165FBD">
            <w:rPr>
              <w:rStyle w:val="Hyperlink"/>
              <w:rFonts w:ascii="Times New Roman" w:hAnsi="Times New Roman" w:cs="Times New Roman"/>
              <w:noProof/>
              <w:color w:val="auto"/>
              <w:sz w:val="24"/>
              <w:szCs w:val="24"/>
              <w:u w:val="none"/>
              <w:lang w:val="sq-AL"/>
            </w:rPr>
            <w:t xml:space="preserve">aporti </w:t>
          </w:r>
          <w:r w:rsidRPr="00F27FA2">
            <w:rPr>
              <w:rStyle w:val="Hyperlink"/>
              <w:rFonts w:ascii="Times New Roman" w:hAnsi="Times New Roman" w:cs="Times New Roman"/>
              <w:noProof/>
              <w:color w:val="auto"/>
              <w:sz w:val="24"/>
              <w:szCs w:val="24"/>
              <w:u w:val="none"/>
              <w:lang w:val="sq-AL"/>
            </w:rPr>
            <w:t xml:space="preserve"> P</w:t>
          </w:r>
          <w:r w:rsidR="00165FBD">
            <w:rPr>
              <w:rStyle w:val="Hyperlink"/>
              <w:rFonts w:ascii="Times New Roman" w:hAnsi="Times New Roman" w:cs="Times New Roman"/>
              <w:noProof/>
              <w:color w:val="auto"/>
              <w:sz w:val="24"/>
              <w:szCs w:val="24"/>
              <w:u w:val="none"/>
              <w:lang w:val="sq-AL"/>
            </w:rPr>
            <w:t xml:space="preserve">ërfundimtar </w:t>
          </w:r>
          <w:r w:rsidRPr="00F27FA2">
            <w:rPr>
              <w:rStyle w:val="Hyperlink"/>
              <w:rFonts w:ascii="Times New Roman" w:hAnsi="Times New Roman" w:cs="Times New Roman"/>
              <w:noProof/>
              <w:color w:val="auto"/>
              <w:sz w:val="24"/>
              <w:szCs w:val="24"/>
              <w:u w:val="none"/>
              <w:lang w:val="sq-AL"/>
            </w:rPr>
            <w:t xml:space="preserve"> JANAR –</w:t>
          </w:r>
          <w:r w:rsidR="006166EB" w:rsidRPr="00F27FA2">
            <w:rPr>
              <w:rStyle w:val="Hyperlink"/>
              <w:rFonts w:ascii="Times New Roman" w:hAnsi="Times New Roman" w:cs="Times New Roman"/>
              <w:noProof/>
              <w:color w:val="auto"/>
              <w:sz w:val="24"/>
              <w:szCs w:val="24"/>
              <w:u w:val="none"/>
              <w:lang w:val="sq-AL"/>
            </w:rPr>
            <w:t>MARS 2026</w:t>
          </w:r>
          <w:r w:rsidR="007563DD" w:rsidRPr="00F27FA2">
            <w:rPr>
              <w:rStyle w:val="Hyperlink"/>
              <w:color w:val="auto"/>
              <w:u w:val="none"/>
              <w:lang w:val="sq-AL"/>
            </w:rPr>
            <w:fldChar w:fldCharType="begin"/>
          </w:r>
          <w:r w:rsidR="007563DD" w:rsidRPr="00F27FA2">
            <w:rPr>
              <w:rStyle w:val="Hyperlink"/>
              <w:rFonts w:ascii="Times New Roman" w:hAnsi="Times New Roman" w:cs="Times New Roman"/>
              <w:noProof/>
              <w:color w:val="auto"/>
              <w:sz w:val="24"/>
              <w:szCs w:val="24"/>
              <w:u w:val="none"/>
              <w:lang w:val="sq-AL"/>
            </w:rPr>
            <w:instrText xml:space="preserve"> TOC \o "1-3" \h \z \u </w:instrText>
          </w:r>
          <w:r w:rsidR="007563DD" w:rsidRPr="00F27FA2">
            <w:rPr>
              <w:rStyle w:val="Hyperlink"/>
              <w:color w:val="auto"/>
              <w:u w:val="none"/>
              <w:lang w:val="sq-AL"/>
            </w:rPr>
            <w:fldChar w:fldCharType="separate"/>
          </w:r>
          <w:hyperlink w:anchor="_Toc115870116" w:history="1"/>
        </w:p>
        <w:p w14:paraId="69AD63CE" w14:textId="4E6882C9" w:rsidR="002E6848" w:rsidRPr="00F27FA2" w:rsidRDefault="002F600B">
          <w:pPr>
            <w:pStyle w:val="TOC2"/>
            <w:tabs>
              <w:tab w:val="left" w:pos="660"/>
              <w:tab w:val="right" w:leader="dot" w:pos="9343"/>
            </w:tabs>
            <w:rPr>
              <w:rStyle w:val="Hyperlink"/>
              <w:rFonts w:ascii="Times New Roman" w:hAnsi="Times New Roman" w:cs="Times New Roman"/>
              <w:color w:val="auto"/>
              <w:sz w:val="24"/>
              <w:szCs w:val="24"/>
              <w:u w:val="none"/>
              <w:lang w:val="sq-AL"/>
            </w:rPr>
          </w:pPr>
          <w:hyperlink w:anchor="_Toc115870117" w:history="1">
            <w:r w:rsidR="002E6848" w:rsidRPr="00F27FA2">
              <w:rPr>
                <w:rStyle w:val="Hyperlink"/>
                <w:rFonts w:ascii="Times New Roman" w:hAnsi="Times New Roman" w:cs="Times New Roman"/>
                <w:noProof/>
                <w:color w:val="auto"/>
                <w:sz w:val="24"/>
                <w:szCs w:val="24"/>
                <w:u w:val="none"/>
                <w:lang w:val="sq-AL"/>
              </w:rPr>
              <w:t>1.</w:t>
            </w:r>
            <w:r w:rsidR="002E6848" w:rsidRPr="00F27FA2">
              <w:rPr>
                <w:rStyle w:val="Hyperlink"/>
                <w:rFonts w:ascii="Times New Roman" w:hAnsi="Times New Roman" w:cs="Times New Roman"/>
                <w:color w:val="auto"/>
                <w:sz w:val="24"/>
                <w:szCs w:val="24"/>
                <w:u w:val="none"/>
                <w:lang w:val="sq-AL"/>
              </w:rPr>
              <w:tab/>
            </w:r>
            <w:r w:rsidR="002E6848" w:rsidRPr="00F27FA2">
              <w:rPr>
                <w:rStyle w:val="Hyperlink"/>
                <w:rFonts w:ascii="Times New Roman" w:hAnsi="Times New Roman" w:cs="Times New Roman"/>
                <w:noProof/>
                <w:color w:val="auto"/>
                <w:sz w:val="24"/>
                <w:szCs w:val="24"/>
                <w:u w:val="none"/>
                <w:lang w:val="sq-AL"/>
              </w:rPr>
              <w:t>K</w:t>
            </w:r>
            <w:r w:rsidR="00296F28" w:rsidRPr="00F27FA2">
              <w:rPr>
                <w:rStyle w:val="Hyperlink"/>
                <w:rFonts w:ascii="Times New Roman" w:hAnsi="Times New Roman" w:cs="Times New Roman"/>
                <w:noProof/>
                <w:color w:val="auto"/>
                <w:sz w:val="24"/>
                <w:szCs w:val="24"/>
                <w:u w:val="none"/>
                <w:lang w:val="sq-AL"/>
              </w:rPr>
              <w:t>ËRKESA</w:t>
            </w:r>
          </w:hyperlink>
          <w:r w:rsidR="00296F28" w:rsidRPr="00F27FA2">
            <w:rPr>
              <w:rStyle w:val="Hyperlink"/>
              <w:rFonts w:ascii="Times New Roman" w:hAnsi="Times New Roman" w:cs="Times New Roman"/>
              <w:color w:val="auto"/>
              <w:sz w:val="24"/>
              <w:szCs w:val="24"/>
              <w:u w:val="none"/>
              <w:lang w:val="sq-AL"/>
            </w:rPr>
            <w:t xml:space="preserve"> PËR RAPORTIM</w:t>
          </w:r>
          <w:r w:rsidR="00693210">
            <w:rPr>
              <w:rStyle w:val="Hyperlink"/>
              <w:rFonts w:ascii="Times New Roman" w:hAnsi="Times New Roman" w:cs="Times New Roman"/>
              <w:color w:val="auto"/>
              <w:sz w:val="24"/>
              <w:szCs w:val="24"/>
              <w:u w:val="none"/>
              <w:lang w:val="sq-AL"/>
            </w:rPr>
            <w:t>.....................................</w:t>
          </w:r>
          <w:r w:rsidR="00656597">
            <w:rPr>
              <w:rStyle w:val="Hyperlink"/>
              <w:rFonts w:ascii="Times New Roman" w:hAnsi="Times New Roman" w:cs="Times New Roman"/>
              <w:color w:val="auto"/>
              <w:sz w:val="24"/>
              <w:szCs w:val="24"/>
              <w:u w:val="none"/>
              <w:lang w:val="sq-AL"/>
            </w:rPr>
            <w:t>............................................</w:t>
          </w:r>
          <w:r w:rsidR="00693210">
            <w:rPr>
              <w:rStyle w:val="Hyperlink"/>
              <w:rFonts w:ascii="Times New Roman" w:hAnsi="Times New Roman" w:cs="Times New Roman"/>
              <w:color w:val="auto"/>
              <w:sz w:val="24"/>
              <w:szCs w:val="24"/>
              <w:u w:val="none"/>
              <w:lang w:val="sq-AL"/>
            </w:rPr>
            <w:t>............ 3</w:t>
          </w:r>
        </w:p>
        <w:p w14:paraId="3BDAC6E7" w14:textId="07880240" w:rsidR="002E6848" w:rsidRPr="00F27FA2" w:rsidRDefault="002F600B">
          <w:pPr>
            <w:pStyle w:val="TOC2"/>
            <w:tabs>
              <w:tab w:val="left" w:pos="660"/>
              <w:tab w:val="right" w:leader="dot" w:pos="9343"/>
            </w:tabs>
            <w:rPr>
              <w:rStyle w:val="Hyperlink"/>
              <w:rFonts w:ascii="Times New Roman" w:hAnsi="Times New Roman" w:cs="Times New Roman"/>
              <w:color w:val="auto"/>
              <w:sz w:val="24"/>
              <w:szCs w:val="24"/>
              <w:u w:val="none"/>
              <w:lang w:val="sq-AL"/>
            </w:rPr>
          </w:pPr>
          <w:hyperlink w:anchor="_Toc115870118" w:history="1">
            <w:r w:rsidR="002E6848" w:rsidRPr="00F27FA2">
              <w:rPr>
                <w:rStyle w:val="Hyperlink"/>
                <w:rFonts w:ascii="Times New Roman" w:hAnsi="Times New Roman" w:cs="Times New Roman"/>
                <w:noProof/>
                <w:color w:val="auto"/>
                <w:sz w:val="24"/>
                <w:szCs w:val="24"/>
                <w:u w:val="none"/>
                <w:lang w:val="sq-AL"/>
              </w:rPr>
              <w:t>2.</w:t>
            </w:r>
            <w:r w:rsidR="002E6848" w:rsidRPr="00F27FA2">
              <w:rPr>
                <w:rStyle w:val="Hyperlink"/>
                <w:rFonts w:ascii="Times New Roman" w:hAnsi="Times New Roman" w:cs="Times New Roman"/>
                <w:color w:val="auto"/>
                <w:sz w:val="24"/>
                <w:szCs w:val="24"/>
                <w:u w:val="none"/>
                <w:lang w:val="sq-AL"/>
              </w:rPr>
              <w:tab/>
            </w:r>
            <w:r w:rsidR="002E6848" w:rsidRPr="00F27FA2">
              <w:rPr>
                <w:rStyle w:val="Hyperlink"/>
                <w:rFonts w:ascii="Times New Roman" w:hAnsi="Times New Roman" w:cs="Times New Roman"/>
                <w:noProof/>
                <w:color w:val="auto"/>
                <w:sz w:val="24"/>
                <w:szCs w:val="24"/>
                <w:u w:val="none"/>
                <w:lang w:val="sq-AL"/>
              </w:rPr>
              <w:t>TË HYRAT DHE SHPENZIMET BUXHETORE PËR PËRIUDHËN RAPORTUESE</w:t>
            </w:r>
          </w:hyperlink>
          <w:r w:rsidR="00693210">
            <w:rPr>
              <w:rStyle w:val="Hyperlink"/>
              <w:rFonts w:ascii="Times New Roman" w:hAnsi="Times New Roman" w:cs="Times New Roman"/>
              <w:noProof/>
              <w:color w:val="auto"/>
              <w:sz w:val="24"/>
              <w:szCs w:val="24"/>
              <w:u w:val="none"/>
              <w:lang w:val="sq-AL"/>
            </w:rPr>
            <w:t>... 3</w:t>
          </w:r>
        </w:p>
        <w:p w14:paraId="530D696D" w14:textId="50620EF7" w:rsidR="002E6848" w:rsidRPr="00F27FA2" w:rsidRDefault="002F600B">
          <w:pPr>
            <w:pStyle w:val="TOC2"/>
            <w:tabs>
              <w:tab w:val="left" w:pos="660"/>
              <w:tab w:val="right" w:leader="dot" w:pos="9343"/>
            </w:tabs>
            <w:rPr>
              <w:rStyle w:val="Hyperlink"/>
              <w:rFonts w:ascii="Times New Roman" w:hAnsi="Times New Roman" w:cs="Times New Roman"/>
              <w:color w:val="auto"/>
              <w:sz w:val="24"/>
              <w:szCs w:val="24"/>
              <w:u w:val="none"/>
              <w:lang w:val="sq-AL"/>
            </w:rPr>
          </w:pPr>
          <w:hyperlink w:anchor="_Toc115870119" w:history="1">
            <w:r w:rsidR="002E6848" w:rsidRPr="00F27FA2">
              <w:rPr>
                <w:rStyle w:val="Hyperlink"/>
                <w:rFonts w:ascii="Times New Roman" w:hAnsi="Times New Roman" w:cs="Times New Roman"/>
                <w:noProof/>
                <w:color w:val="auto"/>
                <w:sz w:val="24"/>
                <w:szCs w:val="24"/>
                <w:u w:val="none"/>
                <w:lang w:val="sq-AL"/>
              </w:rPr>
              <w:t>3.</w:t>
            </w:r>
            <w:r w:rsidR="002E6848" w:rsidRPr="00F27FA2">
              <w:rPr>
                <w:rStyle w:val="Hyperlink"/>
                <w:rFonts w:ascii="Times New Roman" w:hAnsi="Times New Roman" w:cs="Times New Roman"/>
                <w:color w:val="auto"/>
                <w:sz w:val="24"/>
                <w:szCs w:val="24"/>
                <w:u w:val="none"/>
                <w:lang w:val="sq-AL"/>
              </w:rPr>
              <w:tab/>
            </w:r>
            <w:r w:rsidR="00296F28" w:rsidRPr="00F27FA2">
              <w:rPr>
                <w:rStyle w:val="Hyperlink"/>
                <w:rFonts w:ascii="Times New Roman" w:hAnsi="Times New Roman" w:cs="Times New Roman"/>
                <w:noProof/>
                <w:color w:val="auto"/>
                <w:sz w:val="24"/>
                <w:szCs w:val="24"/>
                <w:u w:val="none"/>
                <w:lang w:val="sq-AL"/>
              </w:rPr>
              <w:t>RAPORTI I EKZEKUTIVIT TË BUXHETIT</w:t>
            </w:r>
            <w:r w:rsidR="002E6848" w:rsidRPr="00F27FA2">
              <w:rPr>
                <w:rStyle w:val="Hyperlink"/>
                <w:rFonts w:ascii="Times New Roman" w:hAnsi="Times New Roman" w:cs="Times New Roman"/>
                <w:noProof/>
                <w:color w:val="auto"/>
                <w:sz w:val="24"/>
                <w:szCs w:val="24"/>
                <w:u w:val="none"/>
                <w:lang w:val="sq-AL"/>
              </w:rPr>
              <w:t xml:space="preserve"> 202</w:t>
            </w:r>
            <w:r w:rsidR="002E7244" w:rsidRPr="00F27FA2">
              <w:rPr>
                <w:rStyle w:val="Hyperlink"/>
                <w:rFonts w:ascii="Times New Roman" w:hAnsi="Times New Roman" w:cs="Times New Roman"/>
                <w:noProof/>
                <w:color w:val="auto"/>
                <w:sz w:val="24"/>
                <w:szCs w:val="24"/>
                <w:u w:val="none"/>
                <w:lang w:val="sq-AL"/>
              </w:rPr>
              <w:t>5</w:t>
            </w:r>
            <w:r w:rsidR="002E6848" w:rsidRPr="00F27FA2">
              <w:rPr>
                <w:rStyle w:val="Hyperlink"/>
                <w:rFonts w:ascii="Times New Roman" w:hAnsi="Times New Roman" w:cs="Times New Roman"/>
                <w:noProof/>
                <w:color w:val="auto"/>
                <w:sz w:val="24"/>
                <w:szCs w:val="24"/>
                <w:u w:val="none"/>
                <w:lang w:val="sq-AL"/>
              </w:rPr>
              <w:t xml:space="preserve"> TABELA N</w:t>
            </w:r>
            <w:r w:rsidR="00296F28" w:rsidRPr="00F27FA2">
              <w:rPr>
                <w:rStyle w:val="Hyperlink"/>
                <w:rFonts w:ascii="Times New Roman" w:hAnsi="Times New Roman" w:cs="Times New Roman"/>
                <w:noProof/>
                <w:color w:val="auto"/>
                <w:sz w:val="24"/>
                <w:szCs w:val="24"/>
                <w:u w:val="none"/>
                <w:lang w:val="sq-AL"/>
              </w:rPr>
              <w:t xml:space="preserve">R </w:t>
            </w:r>
            <w:r w:rsidR="002E6848" w:rsidRPr="00F27FA2">
              <w:rPr>
                <w:rStyle w:val="Hyperlink"/>
                <w:rFonts w:ascii="Times New Roman" w:hAnsi="Times New Roman" w:cs="Times New Roman"/>
                <w:noProof/>
                <w:color w:val="auto"/>
                <w:sz w:val="24"/>
                <w:szCs w:val="24"/>
                <w:u w:val="none"/>
                <w:lang w:val="sq-AL"/>
              </w:rPr>
              <w:t>1</w:t>
            </w:r>
          </w:hyperlink>
          <w:r w:rsidR="00693210">
            <w:rPr>
              <w:rStyle w:val="Hyperlink"/>
              <w:rFonts w:ascii="Times New Roman" w:hAnsi="Times New Roman" w:cs="Times New Roman"/>
              <w:noProof/>
              <w:color w:val="auto"/>
              <w:sz w:val="24"/>
              <w:szCs w:val="24"/>
              <w:u w:val="none"/>
              <w:lang w:val="sq-AL"/>
            </w:rPr>
            <w:t>..............</w:t>
          </w:r>
          <w:r w:rsidR="00656597">
            <w:rPr>
              <w:rStyle w:val="Hyperlink"/>
              <w:rFonts w:ascii="Times New Roman" w:hAnsi="Times New Roman" w:cs="Times New Roman"/>
              <w:noProof/>
              <w:color w:val="auto"/>
              <w:sz w:val="24"/>
              <w:szCs w:val="24"/>
              <w:u w:val="none"/>
              <w:lang w:val="sq-AL"/>
            </w:rPr>
            <w:t>..............</w:t>
          </w:r>
          <w:r w:rsidR="00693210">
            <w:rPr>
              <w:rStyle w:val="Hyperlink"/>
              <w:rFonts w:ascii="Times New Roman" w:hAnsi="Times New Roman" w:cs="Times New Roman"/>
              <w:noProof/>
              <w:color w:val="auto"/>
              <w:sz w:val="24"/>
              <w:szCs w:val="24"/>
              <w:u w:val="none"/>
              <w:lang w:val="sq-AL"/>
            </w:rPr>
            <w:t>.....</w:t>
          </w:r>
          <w:r w:rsidR="00656597">
            <w:rPr>
              <w:rStyle w:val="Hyperlink"/>
              <w:rFonts w:ascii="Times New Roman" w:hAnsi="Times New Roman" w:cs="Times New Roman"/>
              <w:noProof/>
              <w:color w:val="auto"/>
              <w:sz w:val="24"/>
              <w:szCs w:val="24"/>
              <w:u w:val="none"/>
              <w:lang w:val="sq-AL"/>
            </w:rPr>
            <w:t>4</w:t>
          </w:r>
        </w:p>
        <w:p w14:paraId="08365476" w14:textId="61DFB0A8" w:rsidR="00296F28" w:rsidRPr="00F27FA2" w:rsidRDefault="002F600B" w:rsidP="00656597">
          <w:pPr>
            <w:pStyle w:val="TOC2"/>
            <w:tabs>
              <w:tab w:val="left" w:pos="660"/>
              <w:tab w:val="right" w:leader="dot" w:pos="9343"/>
            </w:tabs>
            <w:rPr>
              <w:rStyle w:val="Hyperlink"/>
              <w:rFonts w:ascii="Times New Roman" w:hAnsi="Times New Roman" w:cs="Times New Roman"/>
              <w:noProof/>
              <w:color w:val="auto"/>
              <w:sz w:val="24"/>
              <w:szCs w:val="24"/>
              <w:u w:val="none"/>
              <w:lang w:val="sq-AL"/>
            </w:rPr>
          </w:pPr>
          <w:hyperlink w:anchor="_Toc115870120" w:history="1">
            <w:r w:rsidR="002E6848" w:rsidRPr="00F27FA2">
              <w:rPr>
                <w:rStyle w:val="Hyperlink"/>
                <w:rFonts w:ascii="Times New Roman" w:hAnsi="Times New Roman" w:cs="Times New Roman"/>
                <w:noProof/>
                <w:color w:val="auto"/>
                <w:sz w:val="24"/>
                <w:szCs w:val="24"/>
                <w:u w:val="none"/>
                <w:lang w:val="sq-AL"/>
              </w:rPr>
              <w:t>4.</w:t>
            </w:r>
            <w:r w:rsidR="002E6848" w:rsidRPr="00F27FA2">
              <w:rPr>
                <w:rStyle w:val="Hyperlink"/>
                <w:rFonts w:ascii="Times New Roman" w:hAnsi="Times New Roman" w:cs="Times New Roman"/>
                <w:noProof/>
                <w:color w:val="auto"/>
                <w:sz w:val="24"/>
                <w:szCs w:val="24"/>
                <w:u w:val="none"/>
                <w:lang w:val="sq-AL"/>
              </w:rPr>
              <w:tab/>
              <w:t>TË HYRAT  VETANAKE JANAR-</w:t>
            </w:r>
            <w:r w:rsidR="00BC1AFA" w:rsidRPr="00F27FA2">
              <w:rPr>
                <w:rStyle w:val="Hyperlink"/>
                <w:rFonts w:ascii="Times New Roman" w:hAnsi="Times New Roman" w:cs="Times New Roman"/>
                <w:noProof/>
                <w:color w:val="auto"/>
                <w:sz w:val="24"/>
                <w:szCs w:val="24"/>
                <w:u w:val="none"/>
                <w:lang w:val="sq-AL"/>
              </w:rPr>
              <w:t>DHJETOR</w:t>
            </w:r>
            <w:r w:rsidR="002E6848" w:rsidRPr="00F27FA2">
              <w:rPr>
                <w:rStyle w:val="Hyperlink"/>
                <w:rFonts w:ascii="Times New Roman" w:hAnsi="Times New Roman" w:cs="Times New Roman"/>
                <w:noProof/>
                <w:color w:val="auto"/>
                <w:sz w:val="24"/>
                <w:szCs w:val="24"/>
                <w:u w:val="none"/>
                <w:lang w:val="sq-AL"/>
              </w:rPr>
              <w:t xml:space="preserve"> 202</w:t>
            </w:r>
            <w:r w:rsidR="002E7244" w:rsidRPr="00F27FA2">
              <w:rPr>
                <w:rStyle w:val="Hyperlink"/>
                <w:rFonts w:ascii="Times New Roman" w:hAnsi="Times New Roman" w:cs="Times New Roman"/>
                <w:noProof/>
                <w:color w:val="auto"/>
                <w:sz w:val="24"/>
                <w:szCs w:val="24"/>
                <w:u w:val="none"/>
                <w:lang w:val="sq-AL"/>
              </w:rPr>
              <w:t>5</w:t>
            </w:r>
          </w:hyperlink>
          <w:r w:rsidR="00296F28" w:rsidRPr="00F27FA2">
            <w:rPr>
              <w:rStyle w:val="Hyperlink"/>
              <w:rFonts w:ascii="Times New Roman" w:hAnsi="Times New Roman" w:cs="Times New Roman"/>
              <w:noProof/>
              <w:color w:val="auto"/>
              <w:sz w:val="24"/>
              <w:szCs w:val="24"/>
              <w:u w:val="none"/>
              <w:lang w:val="sq-AL"/>
            </w:rPr>
            <w:t xml:space="preserve"> TABELA NR 2</w:t>
          </w:r>
          <w:r w:rsidR="00693210">
            <w:rPr>
              <w:rStyle w:val="Hyperlink"/>
              <w:rFonts w:ascii="Times New Roman" w:hAnsi="Times New Roman" w:cs="Times New Roman"/>
              <w:noProof/>
              <w:color w:val="auto"/>
              <w:sz w:val="24"/>
              <w:szCs w:val="24"/>
              <w:u w:val="none"/>
              <w:lang w:val="sq-AL"/>
            </w:rPr>
            <w:t>..............</w:t>
          </w:r>
          <w:r w:rsidR="00656597">
            <w:rPr>
              <w:rStyle w:val="Hyperlink"/>
              <w:rFonts w:ascii="Times New Roman" w:hAnsi="Times New Roman" w:cs="Times New Roman"/>
              <w:noProof/>
              <w:color w:val="auto"/>
              <w:sz w:val="24"/>
              <w:szCs w:val="24"/>
              <w:u w:val="none"/>
              <w:lang w:val="sq-AL"/>
            </w:rPr>
            <w:t>................</w:t>
          </w:r>
          <w:r w:rsidR="00693210">
            <w:rPr>
              <w:rStyle w:val="Hyperlink"/>
              <w:rFonts w:ascii="Times New Roman" w:hAnsi="Times New Roman" w:cs="Times New Roman"/>
              <w:noProof/>
              <w:color w:val="auto"/>
              <w:sz w:val="24"/>
              <w:szCs w:val="24"/>
              <w:u w:val="none"/>
              <w:lang w:val="sq-AL"/>
            </w:rPr>
            <w:t xml:space="preserve">6            </w:t>
          </w:r>
        </w:p>
        <w:p w14:paraId="461AE08B" w14:textId="18EDCDE7" w:rsidR="00296F28" w:rsidRPr="00F27FA2" w:rsidRDefault="00296F28">
          <w:pPr>
            <w:pStyle w:val="TOC2"/>
            <w:tabs>
              <w:tab w:val="left" w:pos="660"/>
              <w:tab w:val="right" w:leader="dot" w:pos="9343"/>
            </w:tabs>
            <w:rPr>
              <w:rStyle w:val="Hyperlink"/>
              <w:rFonts w:ascii="Times New Roman" w:hAnsi="Times New Roman" w:cs="Times New Roman"/>
              <w:noProof/>
              <w:color w:val="auto"/>
              <w:sz w:val="24"/>
              <w:szCs w:val="24"/>
              <w:u w:val="none"/>
              <w:lang w:val="sq-AL"/>
            </w:rPr>
          </w:pPr>
          <w:r w:rsidRPr="00F27FA2">
            <w:rPr>
              <w:rStyle w:val="Hyperlink"/>
              <w:rFonts w:ascii="Times New Roman" w:hAnsi="Times New Roman" w:cs="Times New Roman"/>
              <w:noProof/>
              <w:color w:val="auto"/>
              <w:sz w:val="24"/>
              <w:szCs w:val="24"/>
              <w:u w:val="none"/>
              <w:lang w:val="sq-AL"/>
            </w:rPr>
            <w:t>5.     SHPENZIMET BUXHETORE NË NËNKATEGORI TABELA NR 3</w:t>
          </w:r>
          <w:r w:rsidR="00693210">
            <w:rPr>
              <w:rStyle w:val="Hyperlink"/>
              <w:rFonts w:ascii="Times New Roman" w:hAnsi="Times New Roman" w:cs="Times New Roman"/>
              <w:noProof/>
              <w:color w:val="auto"/>
              <w:sz w:val="24"/>
              <w:szCs w:val="24"/>
              <w:u w:val="none"/>
              <w:lang w:val="sq-AL"/>
            </w:rPr>
            <w:t>..............</w:t>
          </w:r>
          <w:r w:rsidR="00656597">
            <w:rPr>
              <w:rStyle w:val="Hyperlink"/>
              <w:rFonts w:ascii="Times New Roman" w:hAnsi="Times New Roman" w:cs="Times New Roman"/>
              <w:noProof/>
              <w:color w:val="auto"/>
              <w:sz w:val="24"/>
              <w:szCs w:val="24"/>
              <w:u w:val="none"/>
              <w:lang w:val="sq-AL"/>
            </w:rPr>
            <w:t>...............</w:t>
          </w:r>
          <w:r w:rsidR="00693210">
            <w:rPr>
              <w:rStyle w:val="Hyperlink"/>
              <w:rFonts w:ascii="Times New Roman" w:hAnsi="Times New Roman" w:cs="Times New Roman"/>
              <w:noProof/>
              <w:color w:val="auto"/>
              <w:sz w:val="24"/>
              <w:szCs w:val="24"/>
              <w:u w:val="none"/>
              <w:lang w:val="sq-AL"/>
            </w:rPr>
            <w:t xml:space="preserve">7   </w:t>
          </w:r>
        </w:p>
        <w:p w14:paraId="20C1A6E4" w14:textId="17D66935" w:rsidR="00296F28" w:rsidRPr="00F27FA2" w:rsidRDefault="00296F28">
          <w:pPr>
            <w:pStyle w:val="TOC2"/>
            <w:tabs>
              <w:tab w:val="left" w:pos="660"/>
              <w:tab w:val="right" w:leader="dot" w:pos="9343"/>
            </w:tabs>
            <w:rPr>
              <w:rStyle w:val="Hyperlink"/>
              <w:rFonts w:ascii="Times New Roman" w:hAnsi="Times New Roman" w:cs="Times New Roman"/>
              <w:noProof/>
              <w:color w:val="auto"/>
              <w:sz w:val="24"/>
              <w:szCs w:val="24"/>
              <w:u w:val="none"/>
              <w:lang w:val="sq-AL"/>
            </w:rPr>
          </w:pPr>
          <w:r w:rsidRPr="00F27FA2">
            <w:rPr>
              <w:rStyle w:val="Hyperlink"/>
              <w:rFonts w:ascii="Times New Roman" w:hAnsi="Times New Roman" w:cs="Times New Roman"/>
              <w:noProof/>
              <w:color w:val="auto"/>
              <w:sz w:val="24"/>
              <w:szCs w:val="24"/>
              <w:u w:val="none"/>
              <w:lang w:val="sq-AL"/>
            </w:rPr>
            <w:t xml:space="preserve">6.  </w:t>
          </w:r>
          <w:r w:rsidR="00031802" w:rsidRPr="00F27FA2">
            <w:rPr>
              <w:rStyle w:val="Hyperlink"/>
              <w:rFonts w:ascii="Times New Roman" w:hAnsi="Times New Roman" w:cs="Times New Roman"/>
              <w:noProof/>
              <w:color w:val="auto"/>
              <w:sz w:val="24"/>
              <w:szCs w:val="24"/>
              <w:u w:val="none"/>
              <w:lang w:val="sq-AL"/>
            </w:rPr>
            <w:t xml:space="preserve">   </w:t>
          </w:r>
          <w:r w:rsidRPr="00F27FA2">
            <w:rPr>
              <w:rStyle w:val="Hyperlink"/>
              <w:rFonts w:ascii="Times New Roman" w:hAnsi="Times New Roman" w:cs="Times New Roman"/>
              <w:noProof/>
              <w:color w:val="auto"/>
              <w:sz w:val="24"/>
              <w:szCs w:val="24"/>
              <w:u w:val="none"/>
              <w:lang w:val="sq-AL"/>
            </w:rPr>
            <w:t>SHPENZIME NË PROJEKTET KAPITALE TABELA NR 4</w:t>
          </w:r>
          <w:r w:rsidR="00693210">
            <w:rPr>
              <w:rStyle w:val="Hyperlink"/>
              <w:rFonts w:ascii="Times New Roman" w:hAnsi="Times New Roman" w:cs="Times New Roman"/>
              <w:noProof/>
              <w:color w:val="auto"/>
              <w:sz w:val="24"/>
              <w:szCs w:val="24"/>
              <w:u w:val="none"/>
              <w:lang w:val="sq-AL"/>
            </w:rPr>
            <w:t>............................</w:t>
          </w:r>
          <w:r w:rsidR="00656597">
            <w:rPr>
              <w:rStyle w:val="Hyperlink"/>
              <w:rFonts w:ascii="Times New Roman" w:hAnsi="Times New Roman" w:cs="Times New Roman"/>
              <w:noProof/>
              <w:color w:val="auto"/>
              <w:sz w:val="24"/>
              <w:szCs w:val="24"/>
              <w:u w:val="none"/>
              <w:lang w:val="sq-AL"/>
            </w:rPr>
            <w:t>........</w:t>
          </w:r>
          <w:r w:rsidR="00693210">
            <w:rPr>
              <w:rStyle w:val="Hyperlink"/>
              <w:rFonts w:ascii="Times New Roman" w:hAnsi="Times New Roman" w:cs="Times New Roman"/>
              <w:noProof/>
              <w:color w:val="auto"/>
              <w:sz w:val="24"/>
              <w:szCs w:val="24"/>
              <w:u w:val="none"/>
              <w:lang w:val="sq-AL"/>
            </w:rPr>
            <w:t>11-1</w:t>
          </w:r>
          <w:r w:rsidR="001337F6">
            <w:rPr>
              <w:rStyle w:val="Hyperlink"/>
              <w:rFonts w:ascii="Times New Roman" w:hAnsi="Times New Roman" w:cs="Times New Roman"/>
              <w:noProof/>
              <w:color w:val="auto"/>
              <w:sz w:val="24"/>
              <w:szCs w:val="24"/>
              <w:u w:val="none"/>
              <w:lang w:val="sq-AL"/>
            </w:rPr>
            <w:t>3</w:t>
          </w:r>
        </w:p>
        <w:p w14:paraId="44926ED0" w14:textId="291BC1CD" w:rsidR="002E6848" w:rsidRPr="00F27FA2" w:rsidRDefault="00296F28">
          <w:pPr>
            <w:pStyle w:val="TOC2"/>
            <w:tabs>
              <w:tab w:val="left" w:pos="660"/>
              <w:tab w:val="right" w:leader="dot" w:pos="9343"/>
            </w:tabs>
            <w:rPr>
              <w:rStyle w:val="Hyperlink"/>
              <w:rFonts w:ascii="Times New Roman" w:hAnsi="Times New Roman" w:cs="Times New Roman"/>
              <w:color w:val="auto"/>
              <w:sz w:val="24"/>
              <w:szCs w:val="24"/>
              <w:u w:val="none"/>
              <w:lang w:val="sq-AL"/>
            </w:rPr>
          </w:pPr>
          <w:r w:rsidRPr="00F27FA2">
            <w:rPr>
              <w:rStyle w:val="Hyperlink"/>
              <w:rFonts w:ascii="Times New Roman" w:hAnsi="Times New Roman" w:cs="Times New Roman"/>
              <w:noProof/>
              <w:color w:val="auto"/>
              <w:sz w:val="24"/>
              <w:szCs w:val="24"/>
              <w:u w:val="none"/>
              <w:lang w:val="sq-AL"/>
            </w:rPr>
            <w:t xml:space="preserve">7.  </w:t>
          </w:r>
          <w:r w:rsidR="00031802" w:rsidRPr="00F27FA2">
            <w:rPr>
              <w:rStyle w:val="Hyperlink"/>
              <w:rFonts w:ascii="Times New Roman" w:hAnsi="Times New Roman" w:cs="Times New Roman"/>
              <w:noProof/>
              <w:color w:val="auto"/>
              <w:sz w:val="24"/>
              <w:szCs w:val="24"/>
              <w:u w:val="none"/>
              <w:lang w:val="sq-AL"/>
            </w:rPr>
            <w:t xml:space="preserve">  </w:t>
          </w:r>
          <w:r w:rsidRPr="00F27FA2">
            <w:rPr>
              <w:rStyle w:val="Hyperlink"/>
              <w:rFonts w:ascii="Times New Roman" w:hAnsi="Times New Roman" w:cs="Times New Roman"/>
              <w:noProof/>
              <w:color w:val="auto"/>
              <w:sz w:val="24"/>
              <w:szCs w:val="24"/>
              <w:u w:val="none"/>
              <w:lang w:val="sq-AL"/>
            </w:rPr>
            <w:t xml:space="preserve"> S</w:t>
          </w:r>
          <w:r w:rsidRPr="00F27FA2">
            <w:rPr>
              <w:rStyle w:val="Hyperlink"/>
              <w:rFonts w:ascii="Times New Roman" w:hAnsi="Times New Roman" w:cs="Times New Roman"/>
              <w:color w:val="auto"/>
              <w:sz w:val="24"/>
              <w:szCs w:val="24"/>
              <w:u w:val="none"/>
              <w:lang w:val="sq-AL"/>
            </w:rPr>
            <w:t xml:space="preserve">HPENZIMET SIPAS PROGRAMEVE TABELA NR 5 </w:t>
          </w:r>
          <w:r w:rsidR="00693210">
            <w:rPr>
              <w:rStyle w:val="Hyperlink"/>
              <w:rFonts w:ascii="Times New Roman" w:hAnsi="Times New Roman" w:cs="Times New Roman"/>
              <w:color w:val="auto"/>
              <w:sz w:val="24"/>
              <w:szCs w:val="24"/>
              <w:u w:val="none"/>
              <w:lang w:val="sq-AL"/>
            </w:rPr>
            <w:t>..................................</w:t>
          </w:r>
          <w:r w:rsidR="00656597">
            <w:rPr>
              <w:rStyle w:val="Hyperlink"/>
              <w:rFonts w:ascii="Times New Roman" w:hAnsi="Times New Roman" w:cs="Times New Roman"/>
              <w:color w:val="auto"/>
              <w:sz w:val="24"/>
              <w:szCs w:val="24"/>
              <w:u w:val="none"/>
              <w:lang w:val="sq-AL"/>
            </w:rPr>
            <w:t>.............</w:t>
          </w:r>
          <w:r w:rsidR="00693210">
            <w:rPr>
              <w:rStyle w:val="Hyperlink"/>
              <w:rFonts w:ascii="Times New Roman" w:hAnsi="Times New Roman" w:cs="Times New Roman"/>
              <w:color w:val="auto"/>
              <w:sz w:val="24"/>
              <w:szCs w:val="24"/>
              <w:u w:val="none"/>
              <w:lang w:val="sq-AL"/>
            </w:rPr>
            <w:t>14</w:t>
          </w:r>
        </w:p>
        <w:p w14:paraId="5EEC7005" w14:textId="1261CE75" w:rsidR="00405066" w:rsidRPr="00F27FA2" w:rsidRDefault="00296F28" w:rsidP="007563DD">
          <w:pPr>
            <w:rPr>
              <w:rFonts w:ascii="Times New Roman" w:hAnsi="Times New Roman" w:cs="Times New Roman"/>
              <w:sz w:val="24"/>
              <w:szCs w:val="24"/>
            </w:rPr>
            <w:sectPr w:rsidR="00405066" w:rsidRPr="00F27FA2" w:rsidSect="0099707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627" w:header="720" w:footer="720" w:gutter="0"/>
              <w:pgNumType w:start="1" w:chapStyle="1"/>
              <w:cols w:space="720" w:equalWidth="0">
                <w:col w:w="9353"/>
              </w:cols>
              <w:noEndnote/>
              <w:docGrid w:linePitch="299"/>
            </w:sectPr>
          </w:pPr>
          <w:r w:rsidRPr="00F27FA2">
            <w:rPr>
              <w:rFonts w:ascii="Times New Roman" w:hAnsi="Times New Roman" w:cs="Times New Roman"/>
              <w:b/>
              <w:bCs/>
              <w:noProof/>
              <w:sz w:val="24"/>
              <w:szCs w:val="24"/>
            </w:rPr>
            <w:t xml:space="preserve">   </w:t>
          </w:r>
          <w:r w:rsidR="007563DD" w:rsidRPr="00F27FA2">
            <w:rPr>
              <w:rFonts w:ascii="Times New Roman" w:hAnsi="Times New Roman" w:cs="Times New Roman"/>
              <w:b/>
              <w:bCs/>
              <w:noProof/>
              <w:sz w:val="24"/>
              <w:szCs w:val="24"/>
            </w:rPr>
            <w:fldChar w:fldCharType="end"/>
          </w:r>
          <w:r w:rsidR="00AE4FE0" w:rsidRPr="00F27FA2">
            <w:rPr>
              <w:rFonts w:ascii="Times New Roman" w:hAnsi="Times New Roman" w:cs="Times New Roman"/>
              <w:b/>
              <w:bCs/>
              <w:noProof/>
              <w:sz w:val="24"/>
              <w:szCs w:val="24"/>
            </w:rPr>
            <w:t xml:space="preserve"> </w:t>
          </w:r>
        </w:p>
      </w:sdtContent>
    </w:sdt>
    <w:p w14:paraId="2F925FC3" w14:textId="77777777" w:rsidR="00DD0602" w:rsidRPr="00F27FA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bookmarkStart w:id="5" w:name="page3"/>
      <w:bookmarkEnd w:id="2"/>
      <w:bookmarkEnd w:id="3"/>
      <w:bookmarkEnd w:id="5"/>
    </w:p>
    <w:p w14:paraId="1D707D8E" w14:textId="4A13F110" w:rsidR="00DD0602" w:rsidRPr="00194501" w:rsidRDefault="00DD0602" w:rsidP="007563DD">
      <w:pPr>
        <w:pStyle w:val="Heading2"/>
        <w:jc w:val="center"/>
        <w:rPr>
          <w:rFonts w:ascii="Times New Roman" w:hAnsi="Times New Roman" w:cs="Times New Roman"/>
          <w:color w:val="auto"/>
          <w:lang w:val="sq-AL"/>
        </w:rPr>
      </w:pPr>
      <w:bookmarkStart w:id="6" w:name="_Toc115870116"/>
      <w:r w:rsidRPr="00194501">
        <w:rPr>
          <w:rFonts w:ascii="Times New Roman" w:hAnsi="Times New Roman" w:cs="Times New Roman"/>
          <w:color w:val="auto"/>
          <w:lang w:val="sq-AL"/>
        </w:rPr>
        <w:t xml:space="preserve">Raporti </w:t>
      </w:r>
      <w:r w:rsidR="00DA0644" w:rsidRPr="00194501">
        <w:rPr>
          <w:rFonts w:ascii="Times New Roman" w:hAnsi="Times New Roman" w:cs="Times New Roman"/>
          <w:color w:val="auto"/>
          <w:lang w:val="sq-AL"/>
        </w:rPr>
        <w:t>Financiar Janar-</w:t>
      </w:r>
      <w:r w:rsidR="00232D73" w:rsidRPr="00194501">
        <w:rPr>
          <w:rFonts w:ascii="Times New Roman" w:hAnsi="Times New Roman" w:cs="Times New Roman"/>
          <w:color w:val="auto"/>
          <w:lang w:val="sq-AL"/>
        </w:rPr>
        <w:t>Mars</w:t>
      </w:r>
      <w:r w:rsidRPr="00194501">
        <w:rPr>
          <w:rFonts w:ascii="Times New Roman" w:hAnsi="Times New Roman" w:cs="Times New Roman"/>
          <w:color w:val="auto"/>
          <w:lang w:val="sq-AL"/>
        </w:rPr>
        <w:t xml:space="preserve"> 20</w:t>
      </w:r>
      <w:r w:rsidR="00EE3D7C" w:rsidRPr="00194501">
        <w:rPr>
          <w:rFonts w:ascii="Times New Roman" w:hAnsi="Times New Roman" w:cs="Times New Roman"/>
          <w:color w:val="auto"/>
          <w:lang w:val="sq-AL"/>
        </w:rPr>
        <w:t>2</w:t>
      </w:r>
      <w:bookmarkEnd w:id="6"/>
      <w:r w:rsidR="00232D73" w:rsidRPr="00194501">
        <w:rPr>
          <w:rFonts w:ascii="Times New Roman" w:hAnsi="Times New Roman" w:cs="Times New Roman"/>
          <w:color w:val="auto"/>
          <w:lang w:val="sq-AL"/>
        </w:rPr>
        <w:t>6</w:t>
      </w:r>
    </w:p>
    <w:p w14:paraId="7F8D6F86" w14:textId="032C132D" w:rsidR="00DD0602" w:rsidRPr="00F27FA2" w:rsidRDefault="00F27FA2" w:rsidP="00F27FA2">
      <w:pPr>
        <w:pStyle w:val="Heading2"/>
        <w:ind w:left="1440"/>
        <w:rPr>
          <w:rFonts w:ascii="Times New Roman" w:hAnsi="Times New Roman" w:cs="Times New Roman"/>
          <w:color w:val="auto"/>
          <w:sz w:val="24"/>
          <w:szCs w:val="24"/>
          <w:lang w:val="sq-AL"/>
        </w:rPr>
      </w:pPr>
      <w:bookmarkStart w:id="7" w:name="_Toc115870117"/>
      <w:r w:rsidRPr="00F27FA2">
        <w:rPr>
          <w:rFonts w:ascii="Times New Roman" w:hAnsi="Times New Roman" w:cs="Times New Roman"/>
          <w:color w:val="auto"/>
          <w:sz w:val="24"/>
          <w:szCs w:val="24"/>
          <w:lang w:val="sq-AL"/>
        </w:rPr>
        <w:t xml:space="preserve">                                       </w:t>
      </w:r>
      <w:r w:rsidR="00DD0602" w:rsidRPr="00F27FA2">
        <w:rPr>
          <w:rFonts w:ascii="Times New Roman" w:hAnsi="Times New Roman" w:cs="Times New Roman"/>
          <w:color w:val="auto"/>
          <w:sz w:val="24"/>
          <w:szCs w:val="24"/>
          <w:lang w:val="sq-AL"/>
        </w:rPr>
        <w:t>Kërkesat për raportim</w:t>
      </w:r>
      <w:bookmarkEnd w:id="7"/>
    </w:p>
    <w:p w14:paraId="6FFC57B2" w14:textId="77777777" w:rsidR="00DD0602" w:rsidRPr="00F27FA2" w:rsidRDefault="00DD0602" w:rsidP="002E6848">
      <w:pPr>
        <w:autoSpaceDE w:val="0"/>
        <w:autoSpaceDN w:val="0"/>
        <w:adjustRightInd w:val="0"/>
        <w:spacing w:after="0" w:line="240" w:lineRule="auto"/>
        <w:rPr>
          <w:rFonts w:ascii="Times New Roman" w:eastAsia="Times New Roman" w:hAnsi="Times New Roman" w:cs="Times New Roman"/>
          <w:b/>
          <w:bCs/>
          <w:sz w:val="24"/>
          <w:szCs w:val="24"/>
          <w:lang w:val="sq-AL"/>
        </w:rPr>
      </w:pPr>
    </w:p>
    <w:p w14:paraId="3EBD36C8" w14:textId="77777777" w:rsidR="00DD0602" w:rsidRPr="00F27FA2" w:rsidRDefault="00DD0602" w:rsidP="00DD0602">
      <w:pPr>
        <w:autoSpaceDE w:val="0"/>
        <w:autoSpaceDN w:val="0"/>
        <w:adjustRightInd w:val="0"/>
        <w:spacing w:after="0" w:line="240" w:lineRule="auto"/>
        <w:jc w:val="both"/>
        <w:rPr>
          <w:rFonts w:ascii="Times New Roman" w:eastAsia="Times New Roman" w:hAnsi="Times New Roman" w:cs="Times New Roman"/>
          <w:b/>
          <w:bCs/>
          <w:color w:val="FF0000"/>
          <w:sz w:val="24"/>
          <w:szCs w:val="24"/>
          <w:lang w:val="sq-AL"/>
        </w:rPr>
      </w:pPr>
    </w:p>
    <w:p w14:paraId="7BEB7EE1" w14:textId="6D5D7612" w:rsidR="00DD0602" w:rsidRPr="00F27FA2" w:rsidRDefault="00B85EDB" w:rsidP="00B85EDB">
      <w:pPr>
        <w:autoSpaceDE w:val="0"/>
        <w:autoSpaceDN w:val="0"/>
        <w:adjustRightInd w:val="0"/>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r w:rsidR="00DD0602" w:rsidRPr="00F27FA2">
        <w:rPr>
          <w:rFonts w:ascii="Times New Roman" w:eastAsia="Times New Roman" w:hAnsi="Times New Roman" w:cs="Times New Roman"/>
          <w:sz w:val="24"/>
          <w:szCs w:val="24"/>
          <w:lang w:val="sq-AL"/>
        </w:rPr>
        <w:t xml:space="preserve">Raporti  Financiar  Komunal për </w:t>
      </w:r>
      <w:r w:rsidR="00551E2A" w:rsidRPr="00F27FA2">
        <w:rPr>
          <w:rFonts w:ascii="Times New Roman" w:eastAsia="Times New Roman" w:hAnsi="Times New Roman" w:cs="Times New Roman"/>
          <w:sz w:val="24"/>
          <w:szCs w:val="24"/>
          <w:lang w:val="sq-AL"/>
        </w:rPr>
        <w:t>periudhën</w:t>
      </w:r>
      <w:r w:rsidR="00DA0644" w:rsidRPr="00F27FA2">
        <w:rPr>
          <w:rFonts w:ascii="Times New Roman" w:eastAsia="Times New Roman" w:hAnsi="Times New Roman" w:cs="Times New Roman"/>
          <w:sz w:val="24"/>
          <w:szCs w:val="24"/>
          <w:lang w:val="sq-AL"/>
        </w:rPr>
        <w:t xml:space="preserve"> Janar –</w:t>
      </w:r>
      <w:r w:rsidR="00242618" w:rsidRPr="00F27FA2">
        <w:rPr>
          <w:rFonts w:ascii="Times New Roman" w:eastAsia="Times New Roman" w:hAnsi="Times New Roman" w:cs="Times New Roman"/>
          <w:sz w:val="24"/>
          <w:szCs w:val="24"/>
          <w:lang w:val="sq-AL"/>
        </w:rPr>
        <w:t xml:space="preserve"> Mars</w:t>
      </w:r>
      <w:r w:rsidR="00A51C9B" w:rsidRPr="00F27FA2">
        <w:rPr>
          <w:rFonts w:ascii="Times New Roman" w:eastAsia="Times New Roman" w:hAnsi="Times New Roman" w:cs="Times New Roman"/>
          <w:sz w:val="24"/>
          <w:szCs w:val="24"/>
          <w:lang w:val="sq-AL"/>
        </w:rPr>
        <w:t xml:space="preserve"> </w:t>
      </w:r>
      <w:r w:rsidR="00DD0602" w:rsidRPr="00F27FA2">
        <w:rPr>
          <w:rFonts w:ascii="Times New Roman" w:eastAsia="Times New Roman" w:hAnsi="Times New Roman" w:cs="Times New Roman"/>
          <w:sz w:val="24"/>
          <w:szCs w:val="24"/>
          <w:lang w:val="sq-AL"/>
        </w:rPr>
        <w:t>20</w:t>
      </w:r>
      <w:r w:rsidR="002F034C" w:rsidRPr="00F27FA2">
        <w:rPr>
          <w:rFonts w:ascii="Times New Roman" w:eastAsia="Times New Roman" w:hAnsi="Times New Roman" w:cs="Times New Roman"/>
          <w:sz w:val="24"/>
          <w:szCs w:val="24"/>
          <w:lang w:val="sq-AL"/>
        </w:rPr>
        <w:t>2</w:t>
      </w:r>
      <w:r w:rsidR="00242618" w:rsidRPr="00F27FA2">
        <w:rPr>
          <w:rFonts w:ascii="Times New Roman" w:eastAsia="Times New Roman" w:hAnsi="Times New Roman" w:cs="Times New Roman"/>
          <w:sz w:val="24"/>
          <w:szCs w:val="24"/>
          <w:lang w:val="sq-AL"/>
        </w:rPr>
        <w:t>6</w:t>
      </w:r>
      <w:r w:rsidR="00DD0602" w:rsidRPr="00F27FA2">
        <w:rPr>
          <w:rFonts w:ascii="Times New Roman" w:eastAsia="Times New Roman" w:hAnsi="Times New Roman" w:cs="Times New Roman"/>
          <w:sz w:val="24"/>
          <w:szCs w:val="24"/>
          <w:lang w:val="sq-AL"/>
        </w:rPr>
        <w:t xml:space="preserve">, bëhet në bazë të kërkesave për raportim të përkohshëm </w:t>
      </w:r>
      <w:r w:rsidR="006B2BB4" w:rsidRPr="00F27FA2">
        <w:rPr>
          <w:rFonts w:ascii="Times New Roman" w:eastAsia="Times New Roman" w:hAnsi="Times New Roman" w:cs="Times New Roman"/>
          <w:sz w:val="24"/>
          <w:szCs w:val="24"/>
          <w:lang w:val="sq-AL"/>
        </w:rPr>
        <w:t xml:space="preserve">dhe në bazë </w:t>
      </w:r>
      <w:r w:rsidR="00DD0602" w:rsidRPr="00F27FA2">
        <w:rPr>
          <w:rFonts w:ascii="Times New Roman" w:eastAsia="Times New Roman" w:hAnsi="Times New Roman" w:cs="Times New Roman"/>
          <w:sz w:val="24"/>
          <w:szCs w:val="24"/>
          <w:lang w:val="sq-AL"/>
        </w:rPr>
        <w:t xml:space="preserve">të </w:t>
      </w:r>
      <w:r w:rsidR="00E218C4" w:rsidRPr="00F27FA2">
        <w:rPr>
          <w:rFonts w:ascii="Times New Roman" w:eastAsia="Times New Roman" w:hAnsi="Times New Roman" w:cs="Times New Roman"/>
          <w:sz w:val="24"/>
          <w:szCs w:val="24"/>
          <w:lang w:val="sq-AL"/>
        </w:rPr>
        <w:t>“</w:t>
      </w:r>
      <w:r w:rsidR="00DD0602" w:rsidRPr="00F27FA2">
        <w:rPr>
          <w:rFonts w:ascii="Times New Roman" w:eastAsia="Times New Roman" w:hAnsi="Times New Roman" w:cs="Times New Roman"/>
          <w:sz w:val="24"/>
          <w:szCs w:val="24"/>
          <w:lang w:val="sq-AL"/>
        </w:rPr>
        <w:t>Ligjit Për Menaxhimin e Financave Publike dhe Përgjegjësitë</w:t>
      </w:r>
      <w:r w:rsidR="006B2BB4" w:rsidRPr="00F27FA2">
        <w:rPr>
          <w:rFonts w:ascii="Times New Roman" w:eastAsia="Times New Roman" w:hAnsi="Times New Roman" w:cs="Times New Roman"/>
          <w:sz w:val="24"/>
          <w:szCs w:val="24"/>
          <w:lang w:val="sq-AL"/>
        </w:rPr>
        <w:t xml:space="preserve"> 03/L-048”</w:t>
      </w:r>
      <w:r w:rsidR="00DD0602" w:rsidRPr="00F27FA2">
        <w:rPr>
          <w:rFonts w:ascii="Times New Roman" w:eastAsia="Times New Roman" w:hAnsi="Times New Roman" w:cs="Times New Roman"/>
          <w:sz w:val="24"/>
          <w:szCs w:val="24"/>
          <w:lang w:val="sq-AL"/>
        </w:rPr>
        <w:t xml:space="preserve"> dhe </w:t>
      </w:r>
      <w:r w:rsidR="00E218C4" w:rsidRPr="00F27FA2">
        <w:rPr>
          <w:rFonts w:ascii="Times New Roman" w:eastAsia="Times New Roman" w:hAnsi="Times New Roman" w:cs="Times New Roman"/>
          <w:sz w:val="24"/>
          <w:szCs w:val="24"/>
          <w:lang w:val="sq-AL"/>
        </w:rPr>
        <w:t>S</w:t>
      </w:r>
      <w:r w:rsidR="00DD0602" w:rsidRPr="00F27FA2">
        <w:rPr>
          <w:rFonts w:ascii="Times New Roman" w:eastAsia="Times New Roman" w:hAnsi="Times New Roman" w:cs="Times New Roman"/>
          <w:sz w:val="24"/>
          <w:szCs w:val="24"/>
          <w:lang w:val="sq-AL"/>
        </w:rPr>
        <w:t>tatutit Komunal.</w:t>
      </w:r>
    </w:p>
    <w:p w14:paraId="146F70FB" w14:textId="2E66C2D3" w:rsidR="00DD0602" w:rsidRPr="00F27FA2" w:rsidRDefault="00B85EDB" w:rsidP="004C61A9">
      <w:pPr>
        <w:autoSpaceDE w:val="0"/>
        <w:autoSpaceDN w:val="0"/>
        <w:adjustRightInd w:val="0"/>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r w:rsidR="00DD0602" w:rsidRPr="00F27FA2">
        <w:rPr>
          <w:rFonts w:ascii="Times New Roman" w:eastAsia="Times New Roman" w:hAnsi="Times New Roman" w:cs="Times New Roman"/>
          <w:sz w:val="24"/>
          <w:szCs w:val="24"/>
          <w:lang w:val="sq-AL"/>
        </w:rPr>
        <w:t>Raporti  Financiar  Komunal ka për qëllim të informimit objektiv lidhur me ecurinë dhe me treguesit relevant rreth përmbushjes së planit të grumbullimit të mjeteve sipas burimeve, përmbushjes së obligimeve të planifikuara sipas plan</w:t>
      </w:r>
      <w:r w:rsidR="00551E2A" w:rsidRPr="00F27FA2">
        <w:rPr>
          <w:rFonts w:ascii="Times New Roman" w:eastAsia="Times New Roman" w:hAnsi="Times New Roman" w:cs="Times New Roman"/>
          <w:sz w:val="24"/>
          <w:szCs w:val="24"/>
          <w:lang w:val="sq-AL"/>
        </w:rPr>
        <w:t xml:space="preserve"> </w:t>
      </w:r>
      <w:r w:rsidR="00DD0602" w:rsidRPr="00F27FA2">
        <w:rPr>
          <w:rFonts w:ascii="Times New Roman" w:eastAsia="Times New Roman" w:hAnsi="Times New Roman" w:cs="Times New Roman"/>
          <w:sz w:val="24"/>
          <w:szCs w:val="24"/>
          <w:lang w:val="sq-AL"/>
        </w:rPr>
        <w:t>programeve, dinamikën e mjeteve të shpenzuara dhe atë sipas natyrës së shpenzimeve dhe</w:t>
      </w:r>
      <w:r w:rsidR="00B4287C" w:rsidRPr="00F27FA2">
        <w:rPr>
          <w:rFonts w:ascii="Times New Roman" w:eastAsia="Times New Roman" w:hAnsi="Times New Roman" w:cs="Times New Roman"/>
          <w:sz w:val="24"/>
          <w:szCs w:val="24"/>
          <w:lang w:val="sq-AL"/>
        </w:rPr>
        <w:t xml:space="preserve"> </w:t>
      </w:r>
      <w:r w:rsidR="00DD0602" w:rsidRPr="00F27FA2">
        <w:rPr>
          <w:rFonts w:ascii="Times New Roman" w:eastAsia="Times New Roman" w:hAnsi="Times New Roman" w:cs="Times New Roman"/>
          <w:sz w:val="24"/>
          <w:szCs w:val="24"/>
          <w:lang w:val="sq-AL"/>
        </w:rPr>
        <w:t xml:space="preserve">kategorive të përcaktuara buxhetore, rrjedhën e parasë si dhe treguesit tjerë që kanë ndikuar në rezultatet e përgjithshme për këtë </w:t>
      </w:r>
      <w:r w:rsidR="00551E2A" w:rsidRPr="00F27FA2">
        <w:rPr>
          <w:rFonts w:ascii="Times New Roman" w:eastAsia="Times New Roman" w:hAnsi="Times New Roman" w:cs="Times New Roman"/>
          <w:sz w:val="24"/>
          <w:szCs w:val="24"/>
          <w:lang w:val="sq-AL"/>
        </w:rPr>
        <w:t>periudhë</w:t>
      </w:r>
      <w:r w:rsidR="00DD0602" w:rsidRPr="00F27FA2">
        <w:rPr>
          <w:rFonts w:ascii="Times New Roman" w:eastAsia="Times New Roman" w:hAnsi="Times New Roman" w:cs="Times New Roman"/>
          <w:sz w:val="24"/>
          <w:szCs w:val="24"/>
          <w:lang w:val="sq-AL"/>
        </w:rPr>
        <w:t>.</w:t>
      </w:r>
    </w:p>
    <w:p w14:paraId="124E0EC0" w14:textId="77777777" w:rsidR="00EA5A5B" w:rsidRPr="00F27FA2" w:rsidRDefault="00EA727A" w:rsidP="004C61A9">
      <w:pPr>
        <w:autoSpaceDE w:val="0"/>
        <w:autoSpaceDN w:val="0"/>
        <w:adjustRightInd w:val="0"/>
        <w:spacing w:after="0"/>
        <w:jc w:val="both"/>
        <w:rPr>
          <w:rFonts w:ascii="Times New Roman" w:eastAsia="Times New Roman" w:hAnsi="Times New Roman" w:cs="Times New Roman"/>
          <w:sz w:val="24"/>
          <w:szCs w:val="24"/>
          <w:lang w:val="sq-AL"/>
        </w:rPr>
      </w:pPr>
      <w:r w:rsidRPr="00F27FA2">
        <w:rPr>
          <w:rFonts w:ascii="Times New Roman" w:eastAsia="Times New Roman" w:hAnsi="Times New Roman" w:cs="Times New Roman"/>
          <w:sz w:val="24"/>
          <w:szCs w:val="24"/>
          <w:lang w:val="sq-AL"/>
        </w:rPr>
        <w:tab/>
      </w:r>
    </w:p>
    <w:p w14:paraId="57988CC1" w14:textId="213FAF52" w:rsidR="00F028C4" w:rsidRPr="00F27FA2" w:rsidRDefault="002B565C" w:rsidP="004C61A9">
      <w:pPr>
        <w:autoSpaceDE w:val="0"/>
        <w:autoSpaceDN w:val="0"/>
        <w:adjustRightInd w:val="0"/>
        <w:spacing w:after="0"/>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      </w:t>
      </w:r>
      <w:proofErr w:type="spellStart"/>
      <w:r w:rsidR="00DF772A" w:rsidRPr="00F27FA2">
        <w:rPr>
          <w:rFonts w:ascii="Times New Roman" w:eastAsia="Times New Roman" w:hAnsi="Times New Roman" w:cs="Times New Roman"/>
          <w:b/>
          <w:sz w:val="24"/>
          <w:szCs w:val="24"/>
          <w:lang w:val="sq-AL"/>
        </w:rPr>
        <w:t>P</w:t>
      </w:r>
      <w:r>
        <w:rPr>
          <w:rFonts w:ascii="Times New Roman" w:eastAsia="Times New Roman" w:hAnsi="Times New Roman" w:cs="Times New Roman"/>
          <w:b/>
          <w:sz w:val="24"/>
          <w:szCs w:val="24"/>
          <w:lang w:val="sq-AL"/>
        </w:rPr>
        <w:t>ë</w:t>
      </w:r>
      <w:r w:rsidR="00DF772A" w:rsidRPr="00F27FA2">
        <w:rPr>
          <w:rFonts w:ascii="Times New Roman" w:eastAsia="Times New Roman" w:hAnsi="Times New Roman" w:cs="Times New Roman"/>
          <w:b/>
          <w:sz w:val="24"/>
          <w:szCs w:val="24"/>
          <w:lang w:val="sq-AL"/>
        </w:rPr>
        <w:t>riudha</w:t>
      </w:r>
      <w:proofErr w:type="spellEnd"/>
      <w:r w:rsidR="00EA727A" w:rsidRPr="00F27FA2">
        <w:rPr>
          <w:rFonts w:ascii="Times New Roman" w:eastAsia="Times New Roman" w:hAnsi="Times New Roman" w:cs="Times New Roman"/>
          <w:b/>
          <w:sz w:val="24"/>
          <w:szCs w:val="24"/>
          <w:lang w:val="sq-AL"/>
        </w:rPr>
        <w:t xml:space="preserve"> e raportimit karakterizohet me faktin se</w:t>
      </w:r>
      <w:r w:rsidR="0021502C" w:rsidRPr="00F27FA2">
        <w:rPr>
          <w:rFonts w:ascii="Times New Roman" w:eastAsia="Times New Roman" w:hAnsi="Times New Roman" w:cs="Times New Roman"/>
          <w:b/>
          <w:sz w:val="24"/>
          <w:szCs w:val="24"/>
          <w:lang w:val="sq-AL"/>
        </w:rPr>
        <w:t>:</w:t>
      </w:r>
    </w:p>
    <w:p w14:paraId="1405010B" w14:textId="620840E1" w:rsidR="00F028C4" w:rsidRPr="00F27FA2" w:rsidRDefault="00C8594D" w:rsidP="00C8594D">
      <w:pPr>
        <w:autoSpaceDE w:val="0"/>
        <w:autoSpaceDN w:val="0"/>
        <w:adjustRightInd w:val="0"/>
        <w:spacing w:after="0"/>
        <w:jc w:val="both"/>
        <w:rPr>
          <w:rFonts w:ascii="Times New Roman" w:eastAsia="Times New Roman" w:hAnsi="Times New Roman" w:cs="Times New Roman"/>
          <w:sz w:val="24"/>
          <w:szCs w:val="24"/>
          <w:lang w:val="sq-AL"/>
        </w:rPr>
      </w:pPr>
      <w:r w:rsidRPr="00F27FA2">
        <w:rPr>
          <w:rFonts w:ascii="Times New Roman" w:eastAsia="Times New Roman" w:hAnsi="Times New Roman" w:cs="Times New Roman"/>
          <w:sz w:val="24"/>
          <w:szCs w:val="24"/>
          <w:lang w:val="sq-AL"/>
        </w:rPr>
        <w:t xml:space="preserve">   </w:t>
      </w:r>
      <w:r w:rsidR="00194501">
        <w:rPr>
          <w:rFonts w:ascii="Times New Roman" w:eastAsia="Times New Roman" w:hAnsi="Times New Roman" w:cs="Times New Roman"/>
          <w:sz w:val="24"/>
          <w:szCs w:val="24"/>
          <w:lang w:val="sq-AL"/>
        </w:rPr>
        <w:t xml:space="preserve"> </w:t>
      </w:r>
      <w:r w:rsidRPr="00F27FA2">
        <w:rPr>
          <w:rFonts w:ascii="Times New Roman" w:eastAsia="Times New Roman" w:hAnsi="Times New Roman" w:cs="Times New Roman"/>
          <w:sz w:val="24"/>
          <w:szCs w:val="24"/>
          <w:lang w:val="sq-AL"/>
        </w:rPr>
        <w:t xml:space="preserve">  - </w:t>
      </w:r>
      <w:r w:rsidR="00A349ED" w:rsidRPr="00F27FA2">
        <w:rPr>
          <w:rFonts w:ascii="Times New Roman" w:eastAsia="Times New Roman" w:hAnsi="Times New Roman" w:cs="Times New Roman"/>
          <w:sz w:val="24"/>
          <w:szCs w:val="24"/>
          <w:lang w:val="sq-AL"/>
        </w:rPr>
        <w:t>t</w:t>
      </w:r>
      <w:r w:rsidRPr="00F27FA2">
        <w:rPr>
          <w:rFonts w:ascii="Times New Roman" w:eastAsia="Times New Roman" w:hAnsi="Times New Roman" w:cs="Times New Roman"/>
          <w:sz w:val="24"/>
          <w:szCs w:val="24"/>
          <w:lang w:val="sq-AL"/>
        </w:rPr>
        <w:t>ë</w:t>
      </w:r>
      <w:r w:rsidR="00A349ED" w:rsidRPr="00F27FA2">
        <w:rPr>
          <w:rFonts w:ascii="Times New Roman" w:eastAsia="Times New Roman" w:hAnsi="Times New Roman" w:cs="Times New Roman"/>
          <w:sz w:val="24"/>
          <w:szCs w:val="24"/>
          <w:lang w:val="sq-AL"/>
        </w:rPr>
        <w:t xml:space="preserve"> gjitha mjetet e pa </w:t>
      </w:r>
      <w:r w:rsidRPr="00F27FA2">
        <w:rPr>
          <w:rFonts w:ascii="Times New Roman" w:eastAsia="Times New Roman" w:hAnsi="Times New Roman" w:cs="Times New Roman"/>
          <w:sz w:val="24"/>
          <w:szCs w:val="24"/>
          <w:lang w:val="sq-AL"/>
        </w:rPr>
        <w:t>shpenzuara</w:t>
      </w:r>
      <w:r w:rsidR="00A349ED" w:rsidRPr="00F27FA2">
        <w:rPr>
          <w:rFonts w:ascii="Times New Roman" w:eastAsia="Times New Roman" w:hAnsi="Times New Roman" w:cs="Times New Roman"/>
          <w:sz w:val="24"/>
          <w:szCs w:val="24"/>
          <w:lang w:val="sq-AL"/>
        </w:rPr>
        <w:t xml:space="preserve"> </w:t>
      </w:r>
      <w:r w:rsidRPr="00F27FA2">
        <w:rPr>
          <w:rFonts w:ascii="Times New Roman" w:eastAsia="Times New Roman" w:hAnsi="Times New Roman" w:cs="Times New Roman"/>
          <w:sz w:val="24"/>
          <w:szCs w:val="24"/>
          <w:lang w:val="sq-AL"/>
        </w:rPr>
        <w:t>nga</w:t>
      </w:r>
      <w:r w:rsidR="00A349ED" w:rsidRPr="00F27FA2">
        <w:rPr>
          <w:rFonts w:ascii="Times New Roman" w:eastAsia="Times New Roman" w:hAnsi="Times New Roman" w:cs="Times New Roman"/>
          <w:sz w:val="24"/>
          <w:szCs w:val="24"/>
          <w:lang w:val="sq-AL"/>
        </w:rPr>
        <w:t xml:space="preserve"> </w:t>
      </w:r>
      <w:r w:rsidR="00A51C9B" w:rsidRPr="00F27FA2">
        <w:rPr>
          <w:rFonts w:ascii="Times New Roman" w:eastAsia="Times New Roman" w:hAnsi="Times New Roman" w:cs="Times New Roman"/>
          <w:sz w:val="24"/>
          <w:szCs w:val="24"/>
          <w:lang w:val="sq-AL"/>
        </w:rPr>
        <w:t>viti 2025</w:t>
      </w:r>
      <w:r w:rsidR="00A349ED" w:rsidRPr="00F27FA2">
        <w:rPr>
          <w:rFonts w:ascii="Times New Roman" w:eastAsia="Times New Roman" w:hAnsi="Times New Roman" w:cs="Times New Roman"/>
          <w:sz w:val="24"/>
          <w:szCs w:val="24"/>
          <w:lang w:val="sq-AL"/>
        </w:rPr>
        <w:t xml:space="preserve"> përmes </w:t>
      </w:r>
      <w:r w:rsidRPr="00F27FA2">
        <w:rPr>
          <w:rFonts w:ascii="Times New Roman" w:eastAsia="Times New Roman" w:hAnsi="Times New Roman" w:cs="Times New Roman"/>
          <w:sz w:val="24"/>
          <w:szCs w:val="24"/>
          <w:lang w:val="sq-AL"/>
        </w:rPr>
        <w:t>procedu</w:t>
      </w:r>
      <w:r w:rsidR="00A349ED" w:rsidRPr="00F27FA2">
        <w:rPr>
          <w:rFonts w:ascii="Times New Roman" w:eastAsia="Times New Roman" w:hAnsi="Times New Roman" w:cs="Times New Roman"/>
          <w:sz w:val="24"/>
          <w:szCs w:val="24"/>
          <w:lang w:val="sq-AL"/>
        </w:rPr>
        <w:t>r</w:t>
      </w:r>
      <w:r w:rsidRPr="00F27FA2">
        <w:rPr>
          <w:rFonts w:ascii="Times New Roman" w:eastAsia="Times New Roman" w:hAnsi="Times New Roman" w:cs="Times New Roman"/>
          <w:sz w:val="24"/>
          <w:szCs w:val="24"/>
          <w:lang w:val="sq-AL"/>
        </w:rPr>
        <w:t>a</w:t>
      </w:r>
      <w:r w:rsidR="00A349ED" w:rsidRPr="00F27FA2">
        <w:rPr>
          <w:rFonts w:ascii="Times New Roman" w:eastAsia="Times New Roman" w:hAnsi="Times New Roman" w:cs="Times New Roman"/>
          <w:sz w:val="24"/>
          <w:szCs w:val="24"/>
          <w:lang w:val="sq-AL"/>
        </w:rPr>
        <w:t>ve t</w:t>
      </w:r>
      <w:r w:rsidR="007F179B" w:rsidRPr="00F27FA2">
        <w:rPr>
          <w:rFonts w:ascii="Times New Roman" w:eastAsia="Times New Roman" w:hAnsi="Times New Roman" w:cs="Times New Roman"/>
          <w:sz w:val="24"/>
          <w:szCs w:val="24"/>
          <w:lang w:val="sq-AL"/>
        </w:rPr>
        <w:t>ë</w:t>
      </w:r>
      <w:r w:rsidR="00A349ED" w:rsidRPr="00F27FA2">
        <w:rPr>
          <w:rFonts w:ascii="Times New Roman" w:eastAsia="Times New Roman" w:hAnsi="Times New Roman" w:cs="Times New Roman"/>
          <w:sz w:val="24"/>
          <w:szCs w:val="24"/>
          <w:lang w:val="sq-AL"/>
        </w:rPr>
        <w:t xml:space="preserve"> bartjes sipas </w:t>
      </w:r>
      <w:r w:rsidRPr="00F27FA2">
        <w:rPr>
          <w:rFonts w:ascii="Times New Roman" w:eastAsia="Times New Roman" w:hAnsi="Times New Roman" w:cs="Times New Roman"/>
          <w:sz w:val="24"/>
          <w:szCs w:val="24"/>
          <w:lang w:val="sq-AL"/>
        </w:rPr>
        <w:t>r</w:t>
      </w:r>
      <w:r w:rsidR="00A349ED" w:rsidRPr="00F27FA2">
        <w:rPr>
          <w:rFonts w:ascii="Times New Roman" w:eastAsia="Times New Roman" w:hAnsi="Times New Roman" w:cs="Times New Roman"/>
          <w:sz w:val="24"/>
          <w:szCs w:val="24"/>
          <w:lang w:val="sq-AL"/>
        </w:rPr>
        <w:t>regullor</w:t>
      </w:r>
      <w:r w:rsidRPr="00F27FA2">
        <w:rPr>
          <w:rFonts w:ascii="Times New Roman" w:eastAsia="Times New Roman" w:hAnsi="Times New Roman" w:cs="Times New Roman"/>
          <w:sz w:val="24"/>
          <w:szCs w:val="24"/>
          <w:lang w:val="sq-AL"/>
        </w:rPr>
        <w:t>es</w:t>
      </w:r>
      <w:r w:rsidR="00A349ED" w:rsidRPr="00F27FA2">
        <w:rPr>
          <w:rFonts w:ascii="Times New Roman" w:eastAsia="Times New Roman" w:hAnsi="Times New Roman" w:cs="Times New Roman"/>
          <w:sz w:val="24"/>
          <w:szCs w:val="24"/>
          <w:lang w:val="sq-AL"/>
        </w:rPr>
        <w:t xml:space="preserve"> </w:t>
      </w:r>
      <w:r w:rsidRPr="00F27FA2">
        <w:rPr>
          <w:rFonts w:ascii="Times New Roman" w:eastAsia="Times New Roman" w:hAnsi="Times New Roman" w:cs="Times New Roman"/>
          <w:sz w:val="24"/>
          <w:szCs w:val="24"/>
          <w:lang w:val="sq-AL"/>
        </w:rPr>
        <w:t>f</w:t>
      </w:r>
      <w:r w:rsidR="00A349ED" w:rsidRPr="00F27FA2">
        <w:rPr>
          <w:rFonts w:ascii="Times New Roman" w:eastAsia="Times New Roman" w:hAnsi="Times New Roman" w:cs="Times New Roman"/>
          <w:sz w:val="24"/>
          <w:szCs w:val="24"/>
          <w:lang w:val="sq-AL"/>
        </w:rPr>
        <w:t xml:space="preserve">inanciare </w:t>
      </w:r>
      <w:r w:rsidR="00A51C9B" w:rsidRPr="00F27FA2">
        <w:rPr>
          <w:rFonts w:ascii="Times New Roman" w:eastAsia="Times New Roman" w:hAnsi="Times New Roman" w:cs="Times New Roman"/>
          <w:sz w:val="24"/>
          <w:szCs w:val="24"/>
          <w:lang w:val="sq-AL"/>
        </w:rPr>
        <w:t xml:space="preserve"> do t</w:t>
      </w:r>
      <w:r w:rsidR="007F179B" w:rsidRPr="00F27FA2">
        <w:rPr>
          <w:rFonts w:ascii="Times New Roman" w:eastAsia="Times New Roman" w:hAnsi="Times New Roman" w:cs="Times New Roman"/>
          <w:sz w:val="24"/>
          <w:szCs w:val="24"/>
          <w:lang w:val="sq-AL"/>
        </w:rPr>
        <w:t>ë</w:t>
      </w:r>
      <w:r w:rsidR="00A51C9B" w:rsidRPr="00F27FA2">
        <w:rPr>
          <w:rFonts w:ascii="Times New Roman" w:eastAsia="Times New Roman" w:hAnsi="Times New Roman" w:cs="Times New Roman"/>
          <w:sz w:val="24"/>
          <w:szCs w:val="24"/>
          <w:lang w:val="sq-AL"/>
        </w:rPr>
        <w:t xml:space="preserve"> barten n</w:t>
      </w:r>
      <w:r w:rsidR="007F179B" w:rsidRPr="00F27FA2">
        <w:rPr>
          <w:rFonts w:ascii="Times New Roman" w:eastAsia="Times New Roman" w:hAnsi="Times New Roman" w:cs="Times New Roman"/>
          <w:sz w:val="24"/>
          <w:szCs w:val="24"/>
          <w:lang w:val="sq-AL"/>
        </w:rPr>
        <w:t>ë</w:t>
      </w:r>
      <w:r w:rsidR="00A51C9B" w:rsidRPr="00F27FA2">
        <w:rPr>
          <w:rFonts w:ascii="Times New Roman" w:eastAsia="Times New Roman" w:hAnsi="Times New Roman" w:cs="Times New Roman"/>
          <w:sz w:val="24"/>
          <w:szCs w:val="24"/>
          <w:lang w:val="sq-AL"/>
        </w:rPr>
        <w:t xml:space="preserve"> vitin 2026 </w:t>
      </w:r>
      <w:r w:rsidRPr="00F27FA2">
        <w:rPr>
          <w:rFonts w:ascii="Times New Roman" w:eastAsia="Times New Roman" w:hAnsi="Times New Roman" w:cs="Times New Roman"/>
          <w:sz w:val="24"/>
          <w:szCs w:val="24"/>
          <w:lang w:val="sq-AL"/>
        </w:rPr>
        <w:t>për</w:t>
      </w:r>
      <w:r w:rsidR="00A349ED" w:rsidRPr="00F27FA2">
        <w:rPr>
          <w:rFonts w:ascii="Times New Roman" w:eastAsia="Times New Roman" w:hAnsi="Times New Roman" w:cs="Times New Roman"/>
          <w:sz w:val="24"/>
          <w:szCs w:val="24"/>
          <w:lang w:val="sq-AL"/>
        </w:rPr>
        <w:t xml:space="preserve"> t</w:t>
      </w:r>
      <w:r w:rsidR="007F179B" w:rsidRPr="00F27FA2">
        <w:rPr>
          <w:rFonts w:ascii="Times New Roman" w:eastAsia="Times New Roman" w:hAnsi="Times New Roman" w:cs="Times New Roman"/>
          <w:sz w:val="24"/>
          <w:szCs w:val="24"/>
          <w:lang w:val="sq-AL"/>
        </w:rPr>
        <w:t>ë</w:t>
      </w:r>
      <w:r w:rsidR="00A349ED" w:rsidRPr="00F27FA2">
        <w:rPr>
          <w:rFonts w:ascii="Times New Roman" w:eastAsia="Times New Roman" w:hAnsi="Times New Roman" w:cs="Times New Roman"/>
          <w:sz w:val="24"/>
          <w:szCs w:val="24"/>
          <w:lang w:val="sq-AL"/>
        </w:rPr>
        <w:t xml:space="preserve"> gjitha kategoritë përjashtuar </w:t>
      </w:r>
      <w:r w:rsidRPr="00F27FA2">
        <w:rPr>
          <w:rFonts w:ascii="Times New Roman" w:eastAsia="Times New Roman" w:hAnsi="Times New Roman" w:cs="Times New Roman"/>
          <w:sz w:val="24"/>
          <w:szCs w:val="24"/>
          <w:lang w:val="sq-AL"/>
        </w:rPr>
        <w:t>atë</w:t>
      </w:r>
      <w:r w:rsidR="00A349ED" w:rsidRPr="00F27FA2">
        <w:rPr>
          <w:rFonts w:ascii="Times New Roman" w:eastAsia="Times New Roman" w:hAnsi="Times New Roman" w:cs="Times New Roman"/>
          <w:sz w:val="24"/>
          <w:szCs w:val="24"/>
          <w:lang w:val="sq-AL"/>
        </w:rPr>
        <w:t xml:space="preserve"> t</w:t>
      </w:r>
      <w:r w:rsidR="007F179B" w:rsidRPr="00F27FA2">
        <w:rPr>
          <w:rFonts w:ascii="Times New Roman" w:eastAsia="Times New Roman" w:hAnsi="Times New Roman" w:cs="Times New Roman"/>
          <w:sz w:val="24"/>
          <w:szCs w:val="24"/>
          <w:lang w:val="sq-AL"/>
        </w:rPr>
        <w:t>ë</w:t>
      </w:r>
      <w:r w:rsidR="00A349ED" w:rsidRPr="00F27FA2">
        <w:rPr>
          <w:rFonts w:ascii="Times New Roman" w:eastAsia="Times New Roman" w:hAnsi="Times New Roman" w:cs="Times New Roman"/>
          <w:sz w:val="24"/>
          <w:szCs w:val="24"/>
          <w:lang w:val="sq-AL"/>
        </w:rPr>
        <w:t xml:space="preserve"> pagave</w:t>
      </w:r>
      <w:r w:rsidR="00BA6553" w:rsidRPr="00F27FA2">
        <w:rPr>
          <w:rFonts w:ascii="Times New Roman" w:eastAsia="Times New Roman" w:hAnsi="Times New Roman" w:cs="Times New Roman"/>
          <w:sz w:val="24"/>
          <w:szCs w:val="24"/>
          <w:lang w:val="sq-AL"/>
        </w:rPr>
        <w:t xml:space="preserve"> dhe</w:t>
      </w:r>
    </w:p>
    <w:p w14:paraId="1F05CFE0" w14:textId="53EF2C9C" w:rsidR="00D90B0B" w:rsidRPr="00F27FA2" w:rsidRDefault="00C8594D" w:rsidP="00C8594D">
      <w:pPr>
        <w:pStyle w:val="NoSpacing"/>
        <w:rPr>
          <w:rFonts w:ascii="Times New Roman" w:hAnsi="Times New Roman" w:cs="Times New Roman"/>
          <w:sz w:val="24"/>
          <w:szCs w:val="24"/>
          <w:lang w:val="sq-AL"/>
        </w:rPr>
      </w:pPr>
      <w:r w:rsidRPr="00F27FA2">
        <w:rPr>
          <w:rFonts w:ascii="Times New Roman" w:hAnsi="Times New Roman" w:cs="Times New Roman"/>
          <w:sz w:val="24"/>
          <w:szCs w:val="24"/>
          <w:lang w:val="sq-AL"/>
        </w:rPr>
        <w:t xml:space="preserve">      -  m</w:t>
      </w:r>
      <w:r w:rsidR="003C0F84" w:rsidRPr="00F27FA2">
        <w:rPr>
          <w:rFonts w:ascii="Times New Roman" w:hAnsi="Times New Roman" w:cs="Times New Roman"/>
          <w:sz w:val="24"/>
          <w:szCs w:val="24"/>
          <w:lang w:val="sq-AL"/>
        </w:rPr>
        <w:t xml:space="preserve">e vendime </w:t>
      </w:r>
      <w:proofErr w:type="spellStart"/>
      <w:r w:rsidR="003C0F84" w:rsidRPr="00F27FA2">
        <w:rPr>
          <w:rFonts w:ascii="Times New Roman" w:hAnsi="Times New Roman" w:cs="Times New Roman"/>
          <w:sz w:val="24"/>
          <w:szCs w:val="24"/>
          <w:lang w:val="sq-AL"/>
        </w:rPr>
        <w:t>gjygjësore</w:t>
      </w:r>
      <w:proofErr w:type="spellEnd"/>
      <w:r w:rsidR="003C0F84" w:rsidRPr="00F27FA2">
        <w:rPr>
          <w:rFonts w:ascii="Times New Roman" w:hAnsi="Times New Roman" w:cs="Times New Roman"/>
          <w:sz w:val="24"/>
          <w:szCs w:val="24"/>
          <w:lang w:val="sq-AL"/>
        </w:rPr>
        <w:t>/</w:t>
      </w:r>
      <w:r w:rsidR="00D90B0B" w:rsidRPr="00F27FA2">
        <w:rPr>
          <w:rFonts w:ascii="Times New Roman" w:hAnsi="Times New Roman" w:cs="Times New Roman"/>
          <w:sz w:val="24"/>
          <w:szCs w:val="24"/>
          <w:lang w:val="sq-AL"/>
        </w:rPr>
        <w:t>përmbar</w:t>
      </w:r>
      <w:r w:rsidR="003C0F84" w:rsidRPr="00F27FA2">
        <w:rPr>
          <w:rFonts w:ascii="Times New Roman" w:hAnsi="Times New Roman" w:cs="Times New Roman"/>
          <w:sz w:val="24"/>
          <w:szCs w:val="24"/>
          <w:lang w:val="sq-AL"/>
        </w:rPr>
        <w:t>imore</w:t>
      </w:r>
      <w:r w:rsidR="00D90B0B" w:rsidRPr="00F27FA2">
        <w:rPr>
          <w:rFonts w:ascii="Times New Roman" w:hAnsi="Times New Roman" w:cs="Times New Roman"/>
          <w:sz w:val="24"/>
          <w:szCs w:val="24"/>
          <w:lang w:val="sq-AL"/>
        </w:rPr>
        <w:t xml:space="preserve"> në emër </w:t>
      </w:r>
      <w:r w:rsidR="00EA5A5B" w:rsidRPr="00F27FA2">
        <w:rPr>
          <w:rFonts w:ascii="Times New Roman" w:hAnsi="Times New Roman" w:cs="Times New Roman"/>
          <w:sz w:val="24"/>
          <w:szCs w:val="24"/>
          <w:lang w:val="sq-AL"/>
        </w:rPr>
        <w:t xml:space="preserve">shtesave (shujtat, licencimi, </w:t>
      </w:r>
      <w:r w:rsidR="003C0F84" w:rsidRPr="00F27FA2">
        <w:rPr>
          <w:rFonts w:ascii="Times New Roman" w:hAnsi="Times New Roman" w:cs="Times New Roman"/>
          <w:sz w:val="24"/>
          <w:szCs w:val="24"/>
          <w:lang w:val="sq-AL"/>
        </w:rPr>
        <w:t>inflacioni</w:t>
      </w:r>
      <w:r w:rsidR="00EA5A5B" w:rsidRPr="00F27FA2">
        <w:rPr>
          <w:rFonts w:ascii="Times New Roman" w:hAnsi="Times New Roman" w:cs="Times New Roman"/>
          <w:sz w:val="24"/>
          <w:szCs w:val="24"/>
          <w:lang w:val="sq-AL"/>
        </w:rPr>
        <w:t xml:space="preserve"> </w:t>
      </w:r>
      <w:r w:rsidR="003C0F84" w:rsidRPr="00F27FA2">
        <w:rPr>
          <w:rFonts w:ascii="Times New Roman" w:hAnsi="Times New Roman" w:cs="Times New Roman"/>
          <w:sz w:val="24"/>
          <w:szCs w:val="24"/>
          <w:lang w:val="sq-AL"/>
        </w:rPr>
        <w:t>etj.</w:t>
      </w:r>
      <w:r w:rsidR="00EA5A5B" w:rsidRPr="00F27FA2">
        <w:rPr>
          <w:rFonts w:ascii="Times New Roman" w:hAnsi="Times New Roman" w:cs="Times New Roman"/>
          <w:sz w:val="24"/>
          <w:szCs w:val="24"/>
          <w:lang w:val="sq-AL"/>
        </w:rPr>
        <w:t xml:space="preserve">) </w:t>
      </w:r>
      <w:r w:rsidR="00D90B0B" w:rsidRPr="00F27FA2">
        <w:rPr>
          <w:rFonts w:ascii="Times New Roman" w:hAnsi="Times New Roman" w:cs="Times New Roman"/>
          <w:sz w:val="24"/>
          <w:szCs w:val="24"/>
          <w:lang w:val="sq-AL"/>
        </w:rPr>
        <w:t xml:space="preserve"> </w:t>
      </w:r>
      <w:r w:rsidR="00EA5A5B" w:rsidRPr="00F27FA2">
        <w:rPr>
          <w:rFonts w:ascii="Times New Roman" w:hAnsi="Times New Roman" w:cs="Times New Roman"/>
          <w:sz w:val="24"/>
          <w:szCs w:val="24"/>
          <w:lang w:val="sq-AL"/>
        </w:rPr>
        <w:t>bazuar n</w:t>
      </w:r>
      <w:r w:rsidR="007F179B" w:rsidRPr="00F27FA2">
        <w:rPr>
          <w:rFonts w:ascii="Times New Roman" w:hAnsi="Times New Roman" w:cs="Times New Roman"/>
          <w:sz w:val="24"/>
          <w:szCs w:val="24"/>
          <w:lang w:val="sq-AL"/>
        </w:rPr>
        <w:t>ë</w:t>
      </w:r>
      <w:r w:rsidR="00EA5A5B" w:rsidRPr="00F27FA2">
        <w:rPr>
          <w:rFonts w:ascii="Times New Roman" w:hAnsi="Times New Roman" w:cs="Times New Roman"/>
          <w:sz w:val="24"/>
          <w:szCs w:val="24"/>
          <w:lang w:val="sq-AL"/>
        </w:rPr>
        <w:t xml:space="preserve"> kontratën kolektive për mësimdhënës t</w:t>
      </w:r>
      <w:r w:rsidR="007F179B" w:rsidRPr="00F27FA2">
        <w:rPr>
          <w:rFonts w:ascii="Times New Roman" w:hAnsi="Times New Roman" w:cs="Times New Roman"/>
          <w:sz w:val="24"/>
          <w:szCs w:val="24"/>
          <w:lang w:val="sq-AL"/>
        </w:rPr>
        <w:t>ë</w:t>
      </w:r>
      <w:r w:rsidR="00EA5A5B" w:rsidRPr="00F27FA2">
        <w:rPr>
          <w:rFonts w:ascii="Times New Roman" w:hAnsi="Times New Roman" w:cs="Times New Roman"/>
          <w:sz w:val="24"/>
          <w:szCs w:val="24"/>
          <w:lang w:val="sq-AL"/>
        </w:rPr>
        <w:t xml:space="preserve"> arsimit </w:t>
      </w:r>
      <w:r w:rsidR="00AB41E2" w:rsidRPr="00F27FA2">
        <w:rPr>
          <w:rFonts w:ascii="Times New Roman" w:hAnsi="Times New Roman" w:cs="Times New Roman"/>
          <w:sz w:val="24"/>
          <w:szCs w:val="24"/>
          <w:lang w:val="sq-AL"/>
        </w:rPr>
        <w:t>para universitar</w:t>
      </w:r>
      <w:r w:rsidR="003D7E79" w:rsidRPr="00F27FA2">
        <w:rPr>
          <w:rFonts w:ascii="Times New Roman" w:hAnsi="Times New Roman" w:cs="Times New Roman"/>
          <w:sz w:val="24"/>
          <w:szCs w:val="24"/>
          <w:lang w:val="sq-AL"/>
        </w:rPr>
        <w:t xml:space="preserve"> dhe për operatorë ekonomik</w:t>
      </w:r>
      <w:r w:rsidR="00194501">
        <w:rPr>
          <w:rFonts w:ascii="Times New Roman" w:hAnsi="Times New Roman" w:cs="Times New Roman"/>
          <w:sz w:val="24"/>
          <w:szCs w:val="24"/>
          <w:lang w:val="sq-AL"/>
        </w:rPr>
        <w:t>,</w:t>
      </w:r>
      <w:r w:rsidR="003D7E79" w:rsidRPr="00F27FA2">
        <w:rPr>
          <w:rFonts w:ascii="Times New Roman" w:hAnsi="Times New Roman" w:cs="Times New Roman"/>
          <w:sz w:val="24"/>
          <w:szCs w:val="24"/>
          <w:lang w:val="sq-AL"/>
        </w:rPr>
        <w:t xml:space="preserve"> </w:t>
      </w:r>
      <w:r w:rsidR="00DC4439" w:rsidRPr="00F27FA2">
        <w:rPr>
          <w:rFonts w:ascii="Times New Roman" w:hAnsi="Times New Roman" w:cs="Times New Roman"/>
          <w:sz w:val="24"/>
          <w:szCs w:val="24"/>
          <w:lang w:val="sq-AL"/>
        </w:rPr>
        <w:t>nu</w:t>
      </w:r>
      <w:r w:rsidR="00194501">
        <w:rPr>
          <w:rFonts w:ascii="Times New Roman" w:hAnsi="Times New Roman" w:cs="Times New Roman"/>
          <w:sz w:val="24"/>
          <w:szCs w:val="24"/>
          <w:lang w:val="sq-AL"/>
        </w:rPr>
        <w:t>k janë realizuar asnjë pagesë në</w:t>
      </w:r>
      <w:r w:rsidR="00DC4439" w:rsidRPr="00F27FA2">
        <w:rPr>
          <w:rFonts w:ascii="Times New Roman" w:hAnsi="Times New Roman" w:cs="Times New Roman"/>
          <w:sz w:val="24"/>
          <w:szCs w:val="24"/>
          <w:lang w:val="sq-AL"/>
        </w:rPr>
        <w:t xml:space="preserve"> TM1-2026</w:t>
      </w:r>
      <w:r w:rsidR="002853C1" w:rsidRPr="00F27FA2">
        <w:rPr>
          <w:rFonts w:ascii="Times New Roman" w:hAnsi="Times New Roman" w:cs="Times New Roman"/>
          <w:sz w:val="24"/>
          <w:szCs w:val="24"/>
          <w:lang w:val="sq-AL"/>
        </w:rPr>
        <w:t>.</w:t>
      </w:r>
      <w:r w:rsidR="00F03479" w:rsidRPr="00F27FA2">
        <w:rPr>
          <w:rFonts w:ascii="Times New Roman" w:hAnsi="Times New Roman" w:cs="Times New Roman"/>
          <w:sz w:val="24"/>
          <w:szCs w:val="24"/>
          <w:lang w:val="sq-AL"/>
        </w:rPr>
        <w:t xml:space="preserve"> Në kuadër të kë</w:t>
      </w:r>
      <w:r w:rsidR="008D2328" w:rsidRPr="00F27FA2">
        <w:rPr>
          <w:rFonts w:ascii="Times New Roman" w:hAnsi="Times New Roman" w:cs="Times New Roman"/>
          <w:sz w:val="24"/>
          <w:szCs w:val="24"/>
          <w:lang w:val="sq-AL"/>
        </w:rPr>
        <w:t>tyre shpenzimeve MFPT ka kriju</w:t>
      </w:r>
      <w:r w:rsidR="00F03479" w:rsidRPr="00F27FA2">
        <w:rPr>
          <w:rFonts w:ascii="Times New Roman" w:hAnsi="Times New Roman" w:cs="Times New Roman"/>
          <w:sz w:val="24"/>
          <w:szCs w:val="24"/>
          <w:lang w:val="sq-AL"/>
        </w:rPr>
        <w:t>ar një kod të ri ekonomik (00040), të ndarë për vendime gjyqë</w:t>
      </w:r>
      <w:r w:rsidR="008D2328" w:rsidRPr="00F27FA2">
        <w:rPr>
          <w:rFonts w:ascii="Times New Roman" w:hAnsi="Times New Roman" w:cs="Times New Roman"/>
          <w:sz w:val="24"/>
          <w:szCs w:val="24"/>
          <w:lang w:val="sq-AL"/>
        </w:rPr>
        <w:t xml:space="preserve">sore dhe </w:t>
      </w:r>
      <w:r w:rsidR="00F03479" w:rsidRPr="00F27FA2">
        <w:rPr>
          <w:rFonts w:ascii="Times New Roman" w:hAnsi="Times New Roman" w:cs="Times New Roman"/>
          <w:sz w:val="24"/>
          <w:szCs w:val="24"/>
          <w:lang w:val="sq-AL"/>
        </w:rPr>
        <w:t xml:space="preserve">ka </w:t>
      </w:r>
      <w:proofErr w:type="spellStart"/>
      <w:r w:rsidR="00F03479" w:rsidRPr="00F27FA2">
        <w:rPr>
          <w:rFonts w:ascii="Times New Roman" w:hAnsi="Times New Roman" w:cs="Times New Roman"/>
          <w:sz w:val="24"/>
          <w:szCs w:val="24"/>
          <w:lang w:val="sq-AL"/>
        </w:rPr>
        <w:t>minusuar</w:t>
      </w:r>
      <w:proofErr w:type="spellEnd"/>
      <w:r w:rsidR="00F03479" w:rsidRPr="00F27FA2">
        <w:rPr>
          <w:rFonts w:ascii="Times New Roman" w:hAnsi="Times New Roman" w:cs="Times New Roman"/>
          <w:sz w:val="24"/>
          <w:szCs w:val="24"/>
          <w:lang w:val="sq-AL"/>
        </w:rPr>
        <w:t xml:space="preserve"> buxhetin total të planifikuar në këtë vit në Fondin e Bashkëfinancimit, dhe një pjesë</w:t>
      </w:r>
      <w:r w:rsidR="008D2328" w:rsidRPr="00F27FA2">
        <w:rPr>
          <w:rFonts w:ascii="Times New Roman" w:hAnsi="Times New Roman" w:cs="Times New Roman"/>
          <w:sz w:val="24"/>
          <w:szCs w:val="24"/>
          <w:lang w:val="sq-AL"/>
        </w:rPr>
        <w:t xml:space="preserve"> tek projektet kapitale. Por</w:t>
      </w:r>
      <w:r w:rsidR="00F03479" w:rsidRPr="00F27FA2">
        <w:rPr>
          <w:rFonts w:ascii="Times New Roman" w:hAnsi="Times New Roman" w:cs="Times New Roman"/>
          <w:sz w:val="24"/>
          <w:szCs w:val="24"/>
          <w:lang w:val="sq-AL"/>
        </w:rPr>
        <w:t xml:space="preserve"> nga këto ende nuk janë</w:t>
      </w:r>
      <w:r w:rsidR="008D2328" w:rsidRPr="00F27FA2">
        <w:rPr>
          <w:rFonts w:ascii="Times New Roman" w:hAnsi="Times New Roman" w:cs="Times New Roman"/>
          <w:sz w:val="24"/>
          <w:szCs w:val="24"/>
          <w:lang w:val="sq-AL"/>
        </w:rPr>
        <w:t xml:space="preserve"> realizuar pagesa.</w:t>
      </w:r>
      <w:r w:rsidR="0021502C" w:rsidRPr="00F27FA2">
        <w:rPr>
          <w:rFonts w:ascii="Times New Roman" w:hAnsi="Times New Roman" w:cs="Times New Roman"/>
          <w:sz w:val="24"/>
          <w:szCs w:val="24"/>
          <w:lang w:val="sq-AL"/>
        </w:rPr>
        <w:tab/>
      </w:r>
      <w:r w:rsidR="0021502C" w:rsidRPr="00F27FA2">
        <w:rPr>
          <w:rFonts w:ascii="Times New Roman" w:hAnsi="Times New Roman" w:cs="Times New Roman"/>
          <w:sz w:val="24"/>
          <w:szCs w:val="24"/>
          <w:lang w:val="sq-AL"/>
        </w:rPr>
        <w:tab/>
      </w:r>
      <w:r w:rsidR="0021502C" w:rsidRPr="00F27FA2">
        <w:rPr>
          <w:rFonts w:ascii="Times New Roman" w:hAnsi="Times New Roman" w:cs="Times New Roman"/>
          <w:sz w:val="24"/>
          <w:szCs w:val="24"/>
          <w:lang w:val="sq-AL"/>
        </w:rPr>
        <w:tab/>
      </w:r>
      <w:r w:rsidR="0021502C" w:rsidRPr="00F27FA2">
        <w:rPr>
          <w:rFonts w:ascii="Times New Roman" w:hAnsi="Times New Roman" w:cs="Times New Roman"/>
          <w:sz w:val="24"/>
          <w:szCs w:val="24"/>
          <w:lang w:val="sq-AL"/>
        </w:rPr>
        <w:tab/>
      </w:r>
    </w:p>
    <w:p w14:paraId="3D0485CA" w14:textId="77777777" w:rsidR="00DD0602" w:rsidRPr="00F27FA2" w:rsidRDefault="00DD0602" w:rsidP="00DD0602">
      <w:pPr>
        <w:widowControl w:val="0"/>
        <w:autoSpaceDE w:val="0"/>
        <w:autoSpaceDN w:val="0"/>
        <w:adjustRightInd w:val="0"/>
        <w:spacing w:after="0" w:line="200" w:lineRule="exact"/>
        <w:rPr>
          <w:rFonts w:ascii="Times New Roman" w:eastAsia="Times New Roman" w:hAnsi="Times New Roman" w:cs="Times New Roman"/>
          <w:b/>
          <w:bCs/>
          <w:sz w:val="24"/>
          <w:szCs w:val="24"/>
          <w:lang w:val="sq-AL"/>
        </w:rPr>
      </w:pPr>
    </w:p>
    <w:p w14:paraId="718D5FCF" w14:textId="3F8906DC" w:rsidR="004C61A9" w:rsidRPr="00F27FA2" w:rsidRDefault="00DD0602" w:rsidP="00194501">
      <w:pPr>
        <w:pStyle w:val="Heading2"/>
        <w:jc w:val="center"/>
        <w:rPr>
          <w:rFonts w:ascii="Times New Roman" w:hAnsi="Times New Roman" w:cs="Times New Roman"/>
          <w:color w:val="auto"/>
          <w:sz w:val="24"/>
          <w:szCs w:val="24"/>
          <w:lang w:val="sq-AL"/>
        </w:rPr>
      </w:pPr>
      <w:bookmarkStart w:id="8" w:name="_Toc115870118"/>
      <w:r w:rsidRPr="00F27FA2">
        <w:rPr>
          <w:rFonts w:ascii="Times New Roman" w:hAnsi="Times New Roman" w:cs="Times New Roman"/>
          <w:color w:val="auto"/>
          <w:sz w:val="24"/>
          <w:szCs w:val="24"/>
          <w:lang w:val="sq-AL"/>
        </w:rPr>
        <w:t>TË HYRAT DHE SHPENZIMET BUXHETORE PËR</w:t>
      </w:r>
      <w:r w:rsidR="00464C61" w:rsidRPr="00F27FA2">
        <w:rPr>
          <w:rFonts w:ascii="Times New Roman" w:hAnsi="Times New Roman" w:cs="Times New Roman"/>
          <w:color w:val="auto"/>
          <w:sz w:val="24"/>
          <w:szCs w:val="24"/>
          <w:lang w:val="sq-AL"/>
        </w:rPr>
        <w:t xml:space="preserve"> PËRIUDHËN RAPORTUESE</w:t>
      </w:r>
      <w:bookmarkEnd w:id="8"/>
    </w:p>
    <w:bookmarkEnd w:id="4"/>
    <w:p w14:paraId="57A188B3" w14:textId="77777777" w:rsidR="00DD0602" w:rsidRPr="00F27FA2" w:rsidRDefault="00DD0602" w:rsidP="00DD0602">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16E6C1A9" w14:textId="16A372D5" w:rsidR="00DC4439" w:rsidRPr="00F27FA2" w:rsidRDefault="002B565C" w:rsidP="00B25822">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FB03F4" w:rsidRPr="00F27FA2">
        <w:rPr>
          <w:rFonts w:ascii="Times New Roman" w:hAnsi="Times New Roman" w:cs="Times New Roman"/>
          <w:sz w:val="24"/>
          <w:szCs w:val="24"/>
          <w:lang w:val="sq-AL"/>
        </w:rPr>
        <w:t>Buxheti i aprovuar për  vitin 202</w:t>
      </w:r>
      <w:r w:rsidR="00104094" w:rsidRPr="00F27FA2">
        <w:rPr>
          <w:rFonts w:ascii="Times New Roman" w:hAnsi="Times New Roman" w:cs="Times New Roman"/>
          <w:sz w:val="24"/>
          <w:szCs w:val="24"/>
          <w:lang w:val="sq-AL"/>
        </w:rPr>
        <w:t>6</w:t>
      </w:r>
      <w:r w:rsidR="00FB03F4" w:rsidRPr="00F27FA2">
        <w:rPr>
          <w:rFonts w:ascii="Times New Roman" w:hAnsi="Times New Roman" w:cs="Times New Roman"/>
          <w:sz w:val="24"/>
          <w:szCs w:val="24"/>
          <w:lang w:val="sq-AL"/>
        </w:rPr>
        <w:t xml:space="preserve"> </w:t>
      </w:r>
      <w:r w:rsidR="0071184E" w:rsidRPr="00F27FA2">
        <w:rPr>
          <w:rFonts w:ascii="Times New Roman" w:hAnsi="Times New Roman" w:cs="Times New Roman"/>
          <w:sz w:val="24"/>
          <w:szCs w:val="24"/>
          <w:lang w:val="sq-AL"/>
        </w:rPr>
        <w:t>ishte</w:t>
      </w:r>
      <w:r w:rsidR="00FB03F4" w:rsidRPr="00F27FA2">
        <w:rPr>
          <w:rFonts w:ascii="Times New Roman" w:hAnsi="Times New Roman" w:cs="Times New Roman"/>
          <w:sz w:val="24"/>
          <w:szCs w:val="24"/>
          <w:lang w:val="sq-AL"/>
        </w:rPr>
        <w:t xml:space="preserve"> </w:t>
      </w:r>
      <w:r w:rsidR="00104094" w:rsidRPr="00F27FA2">
        <w:rPr>
          <w:rFonts w:ascii="Times New Roman" w:hAnsi="Times New Roman" w:cs="Times New Roman"/>
          <w:sz w:val="24"/>
          <w:szCs w:val="24"/>
          <w:lang w:val="sq-AL"/>
        </w:rPr>
        <w:t>20,245,396.00</w:t>
      </w:r>
      <w:r w:rsidR="006C75C0" w:rsidRPr="00F27FA2">
        <w:rPr>
          <w:rFonts w:ascii="Times New Roman" w:hAnsi="Times New Roman" w:cs="Times New Roman"/>
          <w:sz w:val="24"/>
          <w:szCs w:val="24"/>
          <w:lang w:val="sq-AL"/>
        </w:rPr>
        <w:t xml:space="preserve"> </w:t>
      </w:r>
      <w:r w:rsidR="00FB03F4" w:rsidRPr="00F27FA2">
        <w:rPr>
          <w:rFonts w:ascii="Times New Roman" w:hAnsi="Times New Roman" w:cs="Times New Roman"/>
          <w:sz w:val="24"/>
          <w:szCs w:val="24"/>
          <w:lang w:val="sq-AL"/>
        </w:rPr>
        <w:t xml:space="preserve">€  </w:t>
      </w:r>
      <w:r w:rsidR="0071184E" w:rsidRPr="00F27FA2">
        <w:rPr>
          <w:rFonts w:ascii="Times New Roman" w:hAnsi="Times New Roman" w:cs="Times New Roman"/>
          <w:sz w:val="24"/>
          <w:szCs w:val="24"/>
          <w:lang w:val="sq-AL"/>
        </w:rPr>
        <w:t>por</w:t>
      </w:r>
      <w:r w:rsidR="00DC4439" w:rsidRPr="00F27FA2">
        <w:rPr>
          <w:rFonts w:ascii="Times New Roman" w:hAnsi="Times New Roman" w:cs="Times New Roman"/>
          <w:sz w:val="24"/>
          <w:szCs w:val="24"/>
          <w:lang w:val="sq-AL"/>
        </w:rPr>
        <w:t xml:space="preserve"> në TM1 nuk rezulton me ndryshime, sepse nuk janë realizuar pagesat e vendimeve gjyqësore dhe bartja e mjeteve të pashpenzuara të vitit 2025 nuk është bërë ende. </w:t>
      </w:r>
    </w:p>
    <w:tbl>
      <w:tblPr>
        <w:tblW w:w="10060" w:type="dxa"/>
        <w:tblInd w:w="70" w:type="dxa"/>
        <w:tblLook w:val="04A0" w:firstRow="1" w:lastRow="0" w:firstColumn="1" w:lastColumn="0" w:noHBand="0" w:noVBand="1"/>
      </w:tblPr>
      <w:tblGrid>
        <w:gridCol w:w="4620"/>
        <w:gridCol w:w="2780"/>
        <w:gridCol w:w="2660"/>
      </w:tblGrid>
      <w:tr w:rsidR="0020339C" w:rsidRPr="00F27FA2" w14:paraId="26EA1D5F" w14:textId="77777777" w:rsidTr="00104094">
        <w:trPr>
          <w:trHeight w:val="390"/>
        </w:trPr>
        <w:tc>
          <w:tcPr>
            <w:tcW w:w="4620" w:type="dxa"/>
            <w:tcBorders>
              <w:top w:val="nil"/>
              <w:left w:val="nil"/>
              <w:bottom w:val="nil"/>
              <w:right w:val="nil"/>
            </w:tcBorders>
            <w:shd w:val="clear" w:color="auto" w:fill="auto"/>
            <w:noWrap/>
            <w:vAlign w:val="bottom"/>
          </w:tcPr>
          <w:p w14:paraId="2F4B8936" w14:textId="0D530938" w:rsidR="0020339C" w:rsidRPr="00F27FA2" w:rsidRDefault="0020339C" w:rsidP="0020339C">
            <w:pPr>
              <w:spacing w:after="0" w:line="240" w:lineRule="auto"/>
              <w:rPr>
                <w:rFonts w:ascii="Times New Roman" w:eastAsia="Times New Roman" w:hAnsi="Times New Roman" w:cs="Times New Roman"/>
                <w:b/>
                <w:bCs/>
                <w:color w:val="000000"/>
                <w:sz w:val="24"/>
                <w:szCs w:val="24"/>
                <w:lang w:val="sq-AL" w:eastAsia="sq-AL"/>
              </w:rPr>
            </w:pPr>
          </w:p>
        </w:tc>
        <w:tc>
          <w:tcPr>
            <w:tcW w:w="2780" w:type="dxa"/>
            <w:tcBorders>
              <w:top w:val="nil"/>
              <w:left w:val="nil"/>
              <w:bottom w:val="nil"/>
              <w:right w:val="nil"/>
            </w:tcBorders>
            <w:shd w:val="clear" w:color="auto" w:fill="auto"/>
            <w:noWrap/>
            <w:vAlign w:val="bottom"/>
          </w:tcPr>
          <w:p w14:paraId="7FDB9748" w14:textId="1DF2F94F" w:rsidR="0020339C" w:rsidRPr="00F27FA2" w:rsidRDefault="0020339C" w:rsidP="0020339C">
            <w:pPr>
              <w:spacing w:after="0" w:line="240" w:lineRule="auto"/>
              <w:jc w:val="center"/>
              <w:rPr>
                <w:rFonts w:ascii="Times New Roman" w:eastAsia="Times New Roman" w:hAnsi="Times New Roman" w:cs="Times New Roman"/>
                <w:b/>
                <w:bCs/>
                <w:color w:val="000000"/>
                <w:sz w:val="24"/>
                <w:szCs w:val="24"/>
                <w:lang w:val="sq-AL" w:eastAsia="sq-AL"/>
              </w:rPr>
            </w:pPr>
          </w:p>
        </w:tc>
        <w:tc>
          <w:tcPr>
            <w:tcW w:w="2660" w:type="dxa"/>
            <w:tcBorders>
              <w:top w:val="nil"/>
              <w:left w:val="nil"/>
              <w:bottom w:val="nil"/>
              <w:right w:val="nil"/>
            </w:tcBorders>
            <w:shd w:val="clear" w:color="auto" w:fill="auto"/>
            <w:noWrap/>
            <w:vAlign w:val="bottom"/>
          </w:tcPr>
          <w:p w14:paraId="2647ADFA" w14:textId="0CCC8ABC" w:rsidR="0020339C" w:rsidRPr="00F27FA2" w:rsidRDefault="0020339C" w:rsidP="0020339C">
            <w:pPr>
              <w:spacing w:after="0" w:line="240" w:lineRule="auto"/>
              <w:jc w:val="center"/>
              <w:rPr>
                <w:rFonts w:ascii="Times New Roman" w:eastAsia="Times New Roman" w:hAnsi="Times New Roman" w:cs="Times New Roman"/>
                <w:b/>
                <w:bCs/>
                <w:color w:val="000000"/>
                <w:sz w:val="24"/>
                <w:szCs w:val="24"/>
                <w:lang w:val="sq-AL" w:eastAsia="sq-AL"/>
              </w:rPr>
            </w:pPr>
          </w:p>
        </w:tc>
      </w:tr>
    </w:tbl>
    <w:p w14:paraId="0153633E" w14:textId="7DA582B9" w:rsidR="00FB03F4" w:rsidRPr="00F27FA2" w:rsidRDefault="00FB03F4" w:rsidP="00920432">
      <w:pPr>
        <w:spacing w:after="0"/>
        <w:jc w:val="both"/>
        <w:rPr>
          <w:rFonts w:ascii="Times New Roman" w:hAnsi="Times New Roman" w:cs="Times New Roman"/>
          <w:b/>
          <w:sz w:val="24"/>
          <w:szCs w:val="24"/>
          <w:lang w:val="sq-AL"/>
        </w:rPr>
      </w:pPr>
      <w:r w:rsidRPr="00F27FA2">
        <w:rPr>
          <w:rFonts w:ascii="Times New Roman" w:hAnsi="Times New Roman" w:cs="Times New Roman"/>
          <w:b/>
          <w:sz w:val="24"/>
          <w:szCs w:val="24"/>
          <w:lang w:val="sq-AL"/>
        </w:rPr>
        <w:tab/>
      </w:r>
      <w:r w:rsidR="00104094" w:rsidRPr="00F27FA2">
        <w:rPr>
          <w:rFonts w:ascii="Times New Roman" w:hAnsi="Times New Roman" w:cs="Times New Roman"/>
          <w:b/>
          <w:noProof/>
          <w:sz w:val="24"/>
          <w:szCs w:val="24"/>
        </w:rPr>
        <w:drawing>
          <wp:inline distT="0" distB="0" distL="0" distR="0" wp14:anchorId="75976A9F" wp14:editId="0FDB0099">
            <wp:extent cx="6035040" cy="16230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3402" cy="1625309"/>
                    </a:xfrm>
                    <a:prstGeom prst="rect">
                      <a:avLst/>
                    </a:prstGeom>
                    <a:noFill/>
                    <a:ln>
                      <a:noFill/>
                    </a:ln>
                  </pic:spPr>
                </pic:pic>
              </a:graphicData>
            </a:graphic>
          </wp:inline>
        </w:drawing>
      </w:r>
    </w:p>
    <w:p w14:paraId="47A9D7DE" w14:textId="1A9240C7" w:rsidR="00105125" w:rsidRDefault="00105125" w:rsidP="002B565C">
      <w:pPr>
        <w:spacing w:after="0"/>
        <w:jc w:val="both"/>
        <w:rPr>
          <w:rFonts w:ascii="Times New Roman" w:hAnsi="Times New Roman" w:cs="Times New Roman"/>
          <w:b/>
          <w:sz w:val="24"/>
          <w:szCs w:val="24"/>
          <w:lang w:val="sq-AL"/>
        </w:rPr>
      </w:pPr>
    </w:p>
    <w:p w14:paraId="7712E509" w14:textId="09C4E835" w:rsidR="00870DC6" w:rsidRPr="00F27FA2" w:rsidRDefault="00296F28" w:rsidP="00E0047F">
      <w:pPr>
        <w:spacing w:after="0"/>
        <w:jc w:val="both"/>
        <w:rPr>
          <w:rFonts w:ascii="Times New Roman" w:hAnsi="Times New Roman" w:cs="Times New Roman"/>
          <w:b/>
          <w:sz w:val="24"/>
          <w:szCs w:val="24"/>
          <w:lang w:val="sq-AL"/>
        </w:rPr>
      </w:pPr>
      <w:r w:rsidRPr="00F27FA2">
        <w:rPr>
          <w:rFonts w:ascii="Times New Roman" w:hAnsi="Times New Roman" w:cs="Times New Roman"/>
          <w:b/>
          <w:sz w:val="24"/>
          <w:szCs w:val="24"/>
          <w:lang w:val="sq-AL"/>
        </w:rPr>
        <w:t>Tabela nr. 1</w:t>
      </w:r>
    </w:p>
    <w:p w14:paraId="7774877E" w14:textId="24C7E30B" w:rsidR="00542E84" w:rsidRPr="00E0047F" w:rsidRDefault="00684325" w:rsidP="00E0047F">
      <w:pPr>
        <w:rPr>
          <w:rFonts w:ascii="Times New Roman" w:hAnsi="Times New Roman" w:cs="Times New Roman"/>
          <w:sz w:val="24"/>
          <w:szCs w:val="24"/>
          <w:lang w:val="sq-AL"/>
        </w:rPr>
      </w:pPr>
      <w:r w:rsidRPr="00F27FA2">
        <w:rPr>
          <w:rFonts w:ascii="Times New Roman" w:hAnsi="Times New Roman" w:cs="Times New Roman"/>
          <w:noProof/>
          <w:sz w:val="24"/>
          <w:szCs w:val="24"/>
        </w:rPr>
        <w:drawing>
          <wp:inline distT="0" distB="0" distL="0" distR="0" wp14:anchorId="1903214D" wp14:editId="169100AB">
            <wp:extent cx="6686550" cy="7736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86550" cy="7736205"/>
                    </a:xfrm>
                    <a:prstGeom prst="rect">
                      <a:avLst/>
                    </a:prstGeom>
                    <a:noFill/>
                    <a:ln>
                      <a:noFill/>
                    </a:ln>
                  </pic:spPr>
                </pic:pic>
              </a:graphicData>
            </a:graphic>
          </wp:inline>
        </w:drawing>
      </w:r>
      <w:r w:rsidR="00632CCA" w:rsidRPr="00C17509">
        <w:rPr>
          <w:rFonts w:ascii="Times New Roman" w:eastAsia="Times New Roman" w:hAnsi="Times New Roman" w:cs="Times New Roman"/>
          <w:sz w:val="20"/>
          <w:szCs w:val="20"/>
          <w:lang w:val="sq-AL"/>
        </w:rPr>
        <w:t>Grafikisht:</w:t>
      </w:r>
    </w:p>
    <w:p w14:paraId="4C7EDC31" w14:textId="67921650" w:rsidR="008B581E" w:rsidRPr="00F27FA2" w:rsidRDefault="00664C00" w:rsidP="00DD0602">
      <w:pPr>
        <w:widowControl w:val="0"/>
        <w:autoSpaceDE w:val="0"/>
        <w:autoSpaceDN w:val="0"/>
        <w:adjustRightInd w:val="0"/>
        <w:spacing w:after="0" w:line="240" w:lineRule="auto"/>
        <w:rPr>
          <w:rFonts w:ascii="Times New Roman" w:eastAsia="Times New Roman" w:hAnsi="Times New Roman" w:cs="Times New Roman"/>
          <w:sz w:val="24"/>
          <w:szCs w:val="24"/>
          <w:lang w:val="sq-AL"/>
        </w:rPr>
      </w:pPr>
      <w:r w:rsidRPr="00F27FA2">
        <w:rPr>
          <w:rFonts w:ascii="Times New Roman" w:eastAsia="Times New Roman" w:hAnsi="Times New Roman" w:cs="Times New Roman"/>
          <w:noProof/>
          <w:sz w:val="24"/>
          <w:szCs w:val="24"/>
        </w:rPr>
        <w:drawing>
          <wp:inline distT="0" distB="0" distL="0" distR="0" wp14:anchorId="3FF5A979" wp14:editId="4A6EE677">
            <wp:extent cx="6686550" cy="2650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86550" cy="2650490"/>
                    </a:xfrm>
                    <a:prstGeom prst="rect">
                      <a:avLst/>
                    </a:prstGeom>
                    <a:noFill/>
                    <a:ln>
                      <a:noFill/>
                    </a:ln>
                  </pic:spPr>
                </pic:pic>
              </a:graphicData>
            </a:graphic>
          </wp:inline>
        </w:drawing>
      </w:r>
    </w:p>
    <w:p w14:paraId="55090016" w14:textId="2C96184A" w:rsidR="007030E0" w:rsidRPr="00F27FA2" w:rsidRDefault="008C03A5"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r w:rsidR="007030E0" w:rsidRPr="00F27FA2">
        <w:rPr>
          <w:rFonts w:ascii="Times New Roman" w:eastAsia="Times New Roman" w:hAnsi="Times New Roman" w:cs="Times New Roman"/>
          <w:sz w:val="24"/>
          <w:szCs w:val="24"/>
          <w:lang w:val="sq-AL"/>
        </w:rPr>
        <w:t>Ky raport paraqet një përmbledhje të detajuar dhe analizë profesionale të realizimit të buxhetit të Komunës së Skenderajt për vitin 2026, bazuar në të dhënat e paraqitura në Tabelën nr. 1. Analiza përfshin krahasimin ndërmjet buxhetit fillestar, buxhetit aktual dhe nivelit të realizimit të shpenzimeve për tremujorin e parë (TM1), si dhe krahasimin me vitin paraprak 2025.</w:t>
      </w:r>
    </w:p>
    <w:p w14:paraId="55552801" w14:textId="77777777" w:rsidR="007030E0" w:rsidRPr="00F27FA2" w:rsidRDefault="007030E0"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6A694A4A" w14:textId="72F09986" w:rsidR="007030E0" w:rsidRPr="00F27FA2" w:rsidRDefault="008C03A5"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r w:rsidR="007030E0" w:rsidRPr="00F27FA2">
        <w:rPr>
          <w:rFonts w:ascii="Times New Roman" w:eastAsia="Times New Roman" w:hAnsi="Times New Roman" w:cs="Times New Roman"/>
          <w:sz w:val="24"/>
          <w:szCs w:val="24"/>
          <w:lang w:val="sq-AL"/>
        </w:rPr>
        <w:t>Buxheti i përgjithshëm i komunës për vitin 2026 është në vlerë prej 20,245,396.00 €, i cili mbetet i pandryshuar ndërmjet buxhetit fillestar dhe atij aktual. Deri në fund të TM1 2026, shpenzimet e realizuara arrijnë në 5,251,754.54 €, që përfaqëson një nivel realizimi prej 25.94% të buxhetit total.</w:t>
      </w:r>
    </w:p>
    <w:p w14:paraId="6453FB7B" w14:textId="77777777" w:rsidR="007030E0" w:rsidRPr="00F27FA2" w:rsidRDefault="007030E0"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056E4057" w14:textId="029FACC6" w:rsidR="007030E0" w:rsidRPr="00F27FA2" w:rsidRDefault="008C03A5"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r w:rsidR="007030E0" w:rsidRPr="00F27FA2">
        <w:rPr>
          <w:rFonts w:ascii="Times New Roman" w:eastAsia="Times New Roman" w:hAnsi="Times New Roman" w:cs="Times New Roman"/>
          <w:sz w:val="24"/>
          <w:szCs w:val="24"/>
          <w:lang w:val="sq-AL"/>
        </w:rPr>
        <w:t xml:space="preserve">Nga kategoria e </w:t>
      </w:r>
      <w:proofErr w:type="spellStart"/>
      <w:r w:rsidR="007030E0" w:rsidRPr="00F27FA2">
        <w:rPr>
          <w:rFonts w:ascii="Times New Roman" w:eastAsia="Times New Roman" w:hAnsi="Times New Roman" w:cs="Times New Roman"/>
          <w:sz w:val="24"/>
          <w:szCs w:val="24"/>
          <w:lang w:val="sq-AL"/>
        </w:rPr>
        <w:t>grantit</w:t>
      </w:r>
      <w:proofErr w:type="spellEnd"/>
      <w:r w:rsidR="007030E0" w:rsidRPr="00F27FA2">
        <w:rPr>
          <w:rFonts w:ascii="Times New Roman" w:eastAsia="Times New Roman" w:hAnsi="Times New Roman" w:cs="Times New Roman"/>
          <w:sz w:val="24"/>
          <w:szCs w:val="24"/>
          <w:lang w:val="sq-AL"/>
        </w:rPr>
        <w:t xml:space="preserve"> të përgjithshëm, në vlerë prej 18,504,485.00 €, janë realizuar shpenzime në shumën 5,251,754.54 €, që përbën 28.38% të realizimit. Brenda kësaj kategorie, shpenzimet për paga dhe shtesa paraqesin realizim prej 32.94%, mallrat dhe shërbimet 26.79%, ndërsa shërbimet komunale kanë nivel më të lartë realizimi prej 47.40%. Subvencionet dhe veçanërisht shpenzimet kapitale paraqesin nivele më të ulëta realizimi në këtë fazë të vitit.</w:t>
      </w:r>
    </w:p>
    <w:p w14:paraId="71A703BF" w14:textId="77777777" w:rsidR="007030E0" w:rsidRPr="00F27FA2" w:rsidRDefault="007030E0"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7ACDA9B8" w14:textId="47C19630" w:rsidR="007030E0" w:rsidRPr="00F27FA2" w:rsidRDefault="008C03A5"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r w:rsidR="007030E0" w:rsidRPr="00F27FA2">
        <w:rPr>
          <w:rFonts w:ascii="Times New Roman" w:eastAsia="Times New Roman" w:hAnsi="Times New Roman" w:cs="Times New Roman"/>
          <w:sz w:val="24"/>
          <w:szCs w:val="24"/>
          <w:lang w:val="sq-AL"/>
        </w:rPr>
        <w:t xml:space="preserve">Të hyrat </w:t>
      </w:r>
      <w:proofErr w:type="spellStart"/>
      <w:r w:rsidR="007030E0" w:rsidRPr="00F27FA2">
        <w:rPr>
          <w:rFonts w:ascii="Times New Roman" w:eastAsia="Times New Roman" w:hAnsi="Times New Roman" w:cs="Times New Roman"/>
          <w:sz w:val="24"/>
          <w:szCs w:val="24"/>
          <w:lang w:val="sq-AL"/>
        </w:rPr>
        <w:t>vetanake</w:t>
      </w:r>
      <w:proofErr w:type="spellEnd"/>
      <w:r w:rsidR="007030E0" w:rsidRPr="00F27FA2">
        <w:rPr>
          <w:rFonts w:ascii="Times New Roman" w:eastAsia="Times New Roman" w:hAnsi="Times New Roman" w:cs="Times New Roman"/>
          <w:sz w:val="24"/>
          <w:szCs w:val="24"/>
          <w:lang w:val="sq-AL"/>
        </w:rPr>
        <w:t xml:space="preserve"> të komunës për vitin 2026 janë planifikuar në vlerë prej 1,740,911.00 €. Gjatë TM1 2026 nuk ka shpenzime nga kjo kategori, për shkak se nuk është bërë </w:t>
      </w:r>
      <w:proofErr w:type="spellStart"/>
      <w:r w:rsidR="007030E0" w:rsidRPr="00F27FA2">
        <w:rPr>
          <w:rFonts w:ascii="Times New Roman" w:eastAsia="Times New Roman" w:hAnsi="Times New Roman" w:cs="Times New Roman"/>
          <w:sz w:val="24"/>
          <w:szCs w:val="24"/>
          <w:lang w:val="sq-AL"/>
        </w:rPr>
        <w:t>alokimi</w:t>
      </w:r>
      <w:proofErr w:type="spellEnd"/>
      <w:r w:rsidR="007030E0" w:rsidRPr="00F27FA2">
        <w:rPr>
          <w:rFonts w:ascii="Times New Roman" w:eastAsia="Times New Roman" w:hAnsi="Times New Roman" w:cs="Times New Roman"/>
          <w:sz w:val="24"/>
          <w:szCs w:val="24"/>
          <w:lang w:val="sq-AL"/>
        </w:rPr>
        <w:t xml:space="preserve"> i të hyrave në tremujorin e parë. Kjo ndërlidhet me faktin se pjesa më e madhe e të hyrave </w:t>
      </w:r>
      <w:proofErr w:type="spellStart"/>
      <w:r w:rsidR="007030E0" w:rsidRPr="00F27FA2">
        <w:rPr>
          <w:rFonts w:ascii="Times New Roman" w:eastAsia="Times New Roman" w:hAnsi="Times New Roman" w:cs="Times New Roman"/>
          <w:sz w:val="24"/>
          <w:szCs w:val="24"/>
          <w:lang w:val="sq-AL"/>
        </w:rPr>
        <w:t>vetanake</w:t>
      </w:r>
      <w:proofErr w:type="spellEnd"/>
      <w:r w:rsidR="007030E0" w:rsidRPr="00F27FA2">
        <w:rPr>
          <w:rFonts w:ascii="Times New Roman" w:eastAsia="Times New Roman" w:hAnsi="Times New Roman" w:cs="Times New Roman"/>
          <w:sz w:val="24"/>
          <w:szCs w:val="24"/>
          <w:lang w:val="sq-AL"/>
        </w:rPr>
        <w:t xml:space="preserve"> është planifikuar në kategorinë e investimeve kapitale.</w:t>
      </w:r>
    </w:p>
    <w:p w14:paraId="3EF50010" w14:textId="77777777" w:rsidR="007030E0" w:rsidRPr="00F27FA2" w:rsidRDefault="007030E0"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09724963" w14:textId="02B9F3FF" w:rsidR="007030E0" w:rsidRPr="00F27FA2" w:rsidRDefault="008C03A5"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r w:rsidR="007030E0" w:rsidRPr="00F27FA2">
        <w:rPr>
          <w:rFonts w:ascii="Times New Roman" w:eastAsia="Times New Roman" w:hAnsi="Times New Roman" w:cs="Times New Roman"/>
          <w:sz w:val="24"/>
          <w:szCs w:val="24"/>
          <w:lang w:val="sq-AL"/>
        </w:rPr>
        <w:t>Gjatë kësaj periudhe, komuna ka operuar me kufizimin buxhetor 1/12, pasi Ligji i Buxhetit për vitin 2026 nuk ka qenë ende i aprovuar. Si pasojë e mungesës së aprovimit të buxhetit, nuk janë lejuar pagesat në kategorinë e investimeve kapitale, duke ndikuar drejtpërdrejt në nivelin e ulët të realizimit të kësaj kategorie.</w:t>
      </w:r>
    </w:p>
    <w:p w14:paraId="00760DD8" w14:textId="77777777" w:rsidR="007030E0" w:rsidRPr="00F27FA2" w:rsidRDefault="007030E0"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2C8455A7" w14:textId="760258DB" w:rsidR="007030E0" w:rsidRPr="00F27FA2" w:rsidRDefault="008C03A5"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r w:rsidR="007030E0" w:rsidRPr="00F27FA2">
        <w:rPr>
          <w:rFonts w:ascii="Times New Roman" w:eastAsia="Times New Roman" w:hAnsi="Times New Roman" w:cs="Times New Roman"/>
          <w:sz w:val="24"/>
          <w:szCs w:val="24"/>
          <w:lang w:val="sq-AL"/>
        </w:rPr>
        <w:t xml:space="preserve">Nga të hyrat bartura, në vitin 2025 janë evidentuar shpenzime në vlerë prej 193,700.18 €, ndërsa për TM1 2026 nuk është bërë ende bartja e të hyrave të pashpenzuara nga kjo kategori. </w:t>
      </w:r>
    </w:p>
    <w:p w14:paraId="6BD6A136" w14:textId="77777777" w:rsidR="007030E0" w:rsidRPr="00F27FA2" w:rsidRDefault="007030E0"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336CF0B6" w14:textId="132E591C" w:rsidR="00634C50" w:rsidRPr="00F27FA2" w:rsidRDefault="008C03A5" w:rsidP="007030E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r w:rsidR="007030E0" w:rsidRPr="00F27FA2">
        <w:rPr>
          <w:rFonts w:ascii="Times New Roman" w:eastAsia="Times New Roman" w:hAnsi="Times New Roman" w:cs="Times New Roman"/>
          <w:sz w:val="24"/>
          <w:szCs w:val="24"/>
          <w:lang w:val="sq-AL"/>
        </w:rPr>
        <w:t xml:space="preserve">Në përgjithësi, niveli i realizimit të buxhetit në TM1 2026 vlerësohet si rezultat i kushteve të përkohshme financiare dhe procedurale, veçanërisht mungesës së aprovimit të buxhetit dhe kufizimeve ligjore për shpenzime kapitale. Me aprovimin e buxhetit dhe </w:t>
      </w:r>
      <w:proofErr w:type="spellStart"/>
      <w:r w:rsidR="007030E0" w:rsidRPr="00F27FA2">
        <w:rPr>
          <w:rFonts w:ascii="Times New Roman" w:eastAsia="Times New Roman" w:hAnsi="Times New Roman" w:cs="Times New Roman"/>
          <w:sz w:val="24"/>
          <w:szCs w:val="24"/>
          <w:lang w:val="sq-AL"/>
        </w:rPr>
        <w:t>alokimin</w:t>
      </w:r>
      <w:proofErr w:type="spellEnd"/>
      <w:r w:rsidR="007030E0" w:rsidRPr="00F27FA2">
        <w:rPr>
          <w:rFonts w:ascii="Times New Roman" w:eastAsia="Times New Roman" w:hAnsi="Times New Roman" w:cs="Times New Roman"/>
          <w:sz w:val="24"/>
          <w:szCs w:val="24"/>
          <w:lang w:val="sq-AL"/>
        </w:rPr>
        <w:t xml:space="preserve"> e plotë të mjeteve, pritet përshpejtim i realizimit të projekteve kapitale dhe rritje e nivelit të përgjithshëm të shpenzimeve në periudhat në vijim.</w:t>
      </w:r>
    </w:p>
    <w:p w14:paraId="274CF7DB" w14:textId="77777777" w:rsidR="00F01EDE" w:rsidRDefault="00F01EDE" w:rsidP="007030E0">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q-AL"/>
        </w:rPr>
      </w:pPr>
    </w:p>
    <w:p w14:paraId="3ED0F822" w14:textId="3B8CE57E" w:rsidR="000A5B34" w:rsidRPr="00E0047F" w:rsidRDefault="000A5B34" w:rsidP="007030E0">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q-AL"/>
        </w:rPr>
      </w:pPr>
      <w:r w:rsidRPr="00E0047F">
        <w:rPr>
          <w:rFonts w:ascii="Times New Roman" w:eastAsia="Times New Roman" w:hAnsi="Times New Roman" w:cs="Times New Roman"/>
          <w:b/>
          <w:bCs/>
          <w:sz w:val="20"/>
          <w:szCs w:val="20"/>
          <w:lang w:val="sq-AL"/>
        </w:rPr>
        <w:t>Tabela nr.2</w:t>
      </w:r>
    </w:p>
    <w:p w14:paraId="561EC68F" w14:textId="5F0E855D" w:rsidR="00CB3E78" w:rsidRPr="00F27FA2" w:rsidRDefault="004E3706" w:rsidP="00CB3E7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sq-AL"/>
        </w:rPr>
      </w:pPr>
      <w:r w:rsidRPr="00F27FA2">
        <w:rPr>
          <w:rFonts w:ascii="Times New Roman" w:eastAsia="Times New Roman" w:hAnsi="Times New Roman" w:cs="Times New Roman"/>
          <w:noProof/>
          <w:sz w:val="24"/>
          <w:szCs w:val="24"/>
        </w:rPr>
        <w:drawing>
          <wp:inline distT="0" distB="0" distL="0" distR="0" wp14:anchorId="7CF7B9B4" wp14:editId="424DD999">
            <wp:extent cx="6735445" cy="781050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90755" cy="7874638"/>
                    </a:xfrm>
                    <a:prstGeom prst="rect">
                      <a:avLst/>
                    </a:prstGeom>
                    <a:noFill/>
                    <a:ln>
                      <a:noFill/>
                    </a:ln>
                  </pic:spPr>
                </pic:pic>
              </a:graphicData>
            </a:graphic>
          </wp:inline>
        </w:drawing>
      </w:r>
    </w:p>
    <w:p w14:paraId="230DF4F1" w14:textId="4F28DAE5" w:rsidR="00140771" w:rsidRPr="00F27FA2" w:rsidRDefault="007317BD" w:rsidP="00181E6C">
      <w:pPr>
        <w:rPr>
          <w:rFonts w:ascii="Times New Roman" w:eastAsia="Times New Roman" w:hAnsi="Times New Roman" w:cs="Times New Roman"/>
          <w:noProof/>
          <w:sz w:val="24"/>
          <w:szCs w:val="24"/>
          <w:lang w:val="sq-AL"/>
        </w:rPr>
      </w:pPr>
      <w:r>
        <w:rPr>
          <w:rFonts w:ascii="Times New Roman" w:eastAsia="Times New Roman" w:hAnsi="Times New Roman" w:cs="Times New Roman"/>
          <w:noProof/>
          <w:sz w:val="24"/>
          <w:szCs w:val="24"/>
          <w:lang w:val="sq-AL"/>
        </w:rPr>
        <w:t xml:space="preserve">  </w:t>
      </w:r>
      <w:r w:rsidR="00140771" w:rsidRPr="00F27FA2">
        <w:rPr>
          <w:rFonts w:ascii="Times New Roman" w:eastAsia="Times New Roman" w:hAnsi="Times New Roman" w:cs="Times New Roman"/>
          <w:noProof/>
          <w:sz w:val="24"/>
          <w:szCs w:val="24"/>
          <w:lang w:val="sq-AL"/>
        </w:rPr>
        <w:t>Tabela nr. 2 paraqet realizimin e të hyrave vetanake të Komunës së Skenderajt për tremujorin e parë (TM1) të vitit 2026, bazuar në planifikim vjetor, realizimin faktik gjatë periudhës Janar – Mars 2026, si dhe totalin kumulativ për këtë periudhë. Raporti është përpiluar në përputhje me praktikat e raportimit financiar dhe me vendimet përkatëse institucionale.</w:t>
      </w:r>
      <w:r w:rsidR="00140771" w:rsidRPr="00F27FA2">
        <w:rPr>
          <w:rFonts w:ascii="Times New Roman" w:eastAsia="Times New Roman" w:hAnsi="Times New Roman" w:cs="Times New Roman"/>
          <w:noProof/>
          <w:sz w:val="24"/>
          <w:szCs w:val="24"/>
          <w:lang w:val="sq-AL"/>
        </w:rPr>
        <w:br/>
      </w:r>
      <w:r w:rsidR="00140771" w:rsidRPr="00F27FA2">
        <w:rPr>
          <w:rFonts w:ascii="Times New Roman" w:eastAsia="Times New Roman" w:hAnsi="Times New Roman" w:cs="Times New Roman"/>
          <w:noProof/>
          <w:sz w:val="24"/>
          <w:szCs w:val="24"/>
          <w:lang w:val="sq-AL"/>
        </w:rPr>
        <w:br/>
      </w:r>
      <w:r>
        <w:rPr>
          <w:rFonts w:ascii="Times New Roman" w:eastAsia="Times New Roman" w:hAnsi="Times New Roman" w:cs="Times New Roman"/>
          <w:noProof/>
          <w:sz w:val="24"/>
          <w:szCs w:val="24"/>
          <w:lang w:val="sq-AL"/>
        </w:rPr>
        <w:t xml:space="preserve">  </w:t>
      </w:r>
      <w:r w:rsidR="00140771" w:rsidRPr="00F27FA2">
        <w:rPr>
          <w:rFonts w:ascii="Times New Roman" w:eastAsia="Times New Roman" w:hAnsi="Times New Roman" w:cs="Times New Roman"/>
          <w:noProof/>
          <w:sz w:val="24"/>
          <w:szCs w:val="24"/>
          <w:lang w:val="sq-AL"/>
        </w:rPr>
        <w:t xml:space="preserve">Bazuar në të dhënat e paraqitura, të hyrat vetanake të realizuara në TM1 2026 arrijnë në gjithsej 317,097.04 €, duke reflektuar nivelin aktual të inkasimit sipas burimeve të ndryshme komunale. </w:t>
      </w:r>
    </w:p>
    <w:p w14:paraId="1BAAB5DD" w14:textId="170F7930" w:rsidR="00C3669B" w:rsidRPr="00C44C6D" w:rsidRDefault="00140771" w:rsidP="00AE4703">
      <w:pPr>
        <w:ind w:left="-360"/>
        <w:rPr>
          <w:rFonts w:ascii="Times New Roman" w:eastAsia="Times New Roman" w:hAnsi="Times New Roman" w:cs="Times New Roman"/>
          <w:sz w:val="24"/>
          <w:szCs w:val="24"/>
          <w:lang w:val="sq-AL"/>
        </w:rPr>
      </w:pPr>
      <w:r w:rsidRPr="00F27FA2">
        <w:rPr>
          <w:rFonts w:ascii="Times New Roman" w:eastAsia="Times New Roman" w:hAnsi="Times New Roman" w:cs="Times New Roman"/>
          <w:noProof/>
          <w:sz w:val="24"/>
          <w:szCs w:val="24"/>
          <w:lang w:val="sq-AL"/>
        </w:rPr>
        <w:br/>
      </w:r>
      <w:r w:rsidR="00AE4703">
        <w:rPr>
          <w:rFonts w:ascii="Times New Roman" w:eastAsia="Times New Roman" w:hAnsi="Times New Roman" w:cs="Times New Roman"/>
          <w:noProof/>
          <w:sz w:val="24"/>
          <w:szCs w:val="24"/>
          <w:lang w:val="sq-AL"/>
        </w:rPr>
        <w:t xml:space="preserve">   </w:t>
      </w:r>
      <w:r w:rsidR="007317BD">
        <w:rPr>
          <w:rFonts w:ascii="Times New Roman" w:eastAsia="Times New Roman" w:hAnsi="Times New Roman" w:cs="Times New Roman"/>
          <w:noProof/>
          <w:sz w:val="24"/>
          <w:szCs w:val="24"/>
          <w:lang w:val="sq-AL"/>
        </w:rPr>
        <w:t xml:space="preserve">  </w:t>
      </w:r>
      <w:r w:rsidR="00AE4703">
        <w:rPr>
          <w:rFonts w:ascii="Times New Roman" w:eastAsia="Times New Roman" w:hAnsi="Times New Roman" w:cs="Times New Roman"/>
          <w:noProof/>
          <w:sz w:val="24"/>
          <w:szCs w:val="24"/>
          <w:lang w:val="sq-AL"/>
        </w:rPr>
        <w:t xml:space="preserve">  </w:t>
      </w:r>
      <w:r w:rsidRPr="00F27FA2">
        <w:rPr>
          <w:rFonts w:ascii="Times New Roman" w:eastAsia="Times New Roman" w:hAnsi="Times New Roman" w:cs="Times New Roman"/>
          <w:noProof/>
          <w:sz w:val="24"/>
          <w:szCs w:val="24"/>
          <w:lang w:val="sq-AL"/>
        </w:rPr>
        <w:t>Megjithatë, është me rëndësi të theksohet se në këtë raport nuk janë përfshirë disa kategori të rëndësishme të të hyrave, përkatësisht:</w:t>
      </w:r>
      <w:r w:rsidRPr="00F27FA2">
        <w:rPr>
          <w:rFonts w:ascii="Times New Roman" w:eastAsia="Times New Roman" w:hAnsi="Times New Roman" w:cs="Times New Roman"/>
          <w:noProof/>
          <w:sz w:val="24"/>
          <w:szCs w:val="24"/>
          <w:lang w:val="sq-AL"/>
        </w:rPr>
        <w:br/>
        <w:t>•</w:t>
      </w:r>
      <w:r w:rsidR="00AE4703">
        <w:rPr>
          <w:rFonts w:ascii="Times New Roman" w:eastAsia="Times New Roman" w:hAnsi="Times New Roman" w:cs="Times New Roman"/>
          <w:noProof/>
          <w:sz w:val="24"/>
          <w:szCs w:val="24"/>
          <w:lang w:val="sq-AL"/>
        </w:rPr>
        <w:t xml:space="preserve">   </w:t>
      </w:r>
      <w:r w:rsidRPr="00F27FA2">
        <w:rPr>
          <w:rFonts w:ascii="Times New Roman" w:eastAsia="Times New Roman" w:hAnsi="Times New Roman" w:cs="Times New Roman"/>
          <w:noProof/>
          <w:sz w:val="24"/>
          <w:szCs w:val="24"/>
          <w:lang w:val="sq-AL"/>
        </w:rPr>
        <w:t xml:space="preserve"> të hyrat nga gjobat në trafik,</w:t>
      </w:r>
      <w:r w:rsidRPr="00F27FA2">
        <w:rPr>
          <w:rFonts w:ascii="Times New Roman" w:eastAsia="Times New Roman" w:hAnsi="Times New Roman" w:cs="Times New Roman"/>
          <w:noProof/>
          <w:sz w:val="24"/>
          <w:szCs w:val="24"/>
          <w:lang w:val="sq-AL"/>
        </w:rPr>
        <w:br/>
        <w:t>•</w:t>
      </w:r>
      <w:r w:rsidR="00AE4703">
        <w:rPr>
          <w:rFonts w:ascii="Times New Roman" w:eastAsia="Times New Roman" w:hAnsi="Times New Roman" w:cs="Times New Roman"/>
          <w:noProof/>
          <w:sz w:val="24"/>
          <w:szCs w:val="24"/>
          <w:lang w:val="sq-AL"/>
        </w:rPr>
        <w:t xml:space="preserve">   </w:t>
      </w:r>
      <w:r w:rsidRPr="00F27FA2">
        <w:rPr>
          <w:rFonts w:ascii="Times New Roman" w:eastAsia="Times New Roman" w:hAnsi="Times New Roman" w:cs="Times New Roman"/>
          <w:noProof/>
          <w:sz w:val="24"/>
          <w:szCs w:val="24"/>
          <w:lang w:val="sq-AL"/>
        </w:rPr>
        <w:t xml:space="preserve"> të hyrat nga gjobat e gjykatave,</w:t>
      </w:r>
      <w:r w:rsidRPr="00F27FA2">
        <w:rPr>
          <w:rFonts w:ascii="Times New Roman" w:eastAsia="Times New Roman" w:hAnsi="Times New Roman" w:cs="Times New Roman"/>
          <w:noProof/>
          <w:sz w:val="24"/>
          <w:szCs w:val="24"/>
          <w:lang w:val="sq-AL"/>
        </w:rPr>
        <w:br/>
        <w:t>•</w:t>
      </w:r>
      <w:r w:rsidR="00AE4703">
        <w:rPr>
          <w:rFonts w:ascii="Times New Roman" w:eastAsia="Times New Roman" w:hAnsi="Times New Roman" w:cs="Times New Roman"/>
          <w:noProof/>
          <w:sz w:val="24"/>
          <w:szCs w:val="24"/>
          <w:lang w:val="sq-AL"/>
        </w:rPr>
        <w:t xml:space="preserve">   </w:t>
      </w:r>
      <w:r w:rsidRPr="00F27FA2">
        <w:rPr>
          <w:rFonts w:ascii="Times New Roman" w:eastAsia="Times New Roman" w:hAnsi="Times New Roman" w:cs="Times New Roman"/>
          <w:noProof/>
          <w:sz w:val="24"/>
          <w:szCs w:val="24"/>
          <w:lang w:val="sq-AL"/>
        </w:rPr>
        <w:t xml:space="preserve"> të hyrat nga agjensioni pyjor.</w:t>
      </w:r>
      <w:r w:rsidRPr="00F27FA2">
        <w:rPr>
          <w:rFonts w:ascii="Times New Roman" w:eastAsia="Times New Roman" w:hAnsi="Times New Roman" w:cs="Times New Roman"/>
          <w:noProof/>
          <w:sz w:val="24"/>
          <w:szCs w:val="24"/>
          <w:lang w:val="sq-AL"/>
        </w:rPr>
        <w:br/>
      </w:r>
      <w:r w:rsidRPr="00F27FA2">
        <w:rPr>
          <w:rFonts w:ascii="Times New Roman" w:eastAsia="Times New Roman" w:hAnsi="Times New Roman" w:cs="Times New Roman"/>
          <w:noProof/>
          <w:sz w:val="24"/>
          <w:szCs w:val="24"/>
          <w:lang w:val="sq-AL"/>
        </w:rPr>
        <w:br/>
      </w:r>
      <w:r w:rsidR="00AE4703">
        <w:rPr>
          <w:rFonts w:ascii="Times New Roman" w:eastAsia="Times New Roman" w:hAnsi="Times New Roman" w:cs="Times New Roman"/>
          <w:noProof/>
          <w:sz w:val="24"/>
          <w:szCs w:val="24"/>
          <w:lang w:val="sq-AL"/>
        </w:rPr>
        <w:t xml:space="preserve">    </w:t>
      </w:r>
      <w:r w:rsidR="007317BD">
        <w:rPr>
          <w:rFonts w:ascii="Times New Roman" w:eastAsia="Times New Roman" w:hAnsi="Times New Roman" w:cs="Times New Roman"/>
          <w:noProof/>
          <w:sz w:val="24"/>
          <w:szCs w:val="24"/>
          <w:lang w:val="sq-AL"/>
        </w:rPr>
        <w:t xml:space="preserve"> </w:t>
      </w:r>
      <w:r w:rsidRPr="00F27FA2">
        <w:rPr>
          <w:rFonts w:ascii="Times New Roman" w:eastAsia="Times New Roman" w:hAnsi="Times New Roman" w:cs="Times New Roman"/>
          <w:noProof/>
          <w:sz w:val="24"/>
          <w:szCs w:val="24"/>
          <w:lang w:val="sq-AL"/>
        </w:rPr>
        <w:t>Këto të hyra nuk figurojnë në këtë tabelë për shkak se alokimi i tyre bëhet në muajin Prill 2026 dhe, si të tilla, nuk janë pjesë e këtij raporti që pasqyron vetëm gjendjen e realizimit për tremujorin e parë (Janar–Mars 2026).</w:t>
      </w:r>
      <w:r w:rsidRPr="00F27FA2">
        <w:rPr>
          <w:rFonts w:ascii="Times New Roman" w:eastAsia="Times New Roman" w:hAnsi="Times New Roman" w:cs="Times New Roman"/>
          <w:noProof/>
          <w:sz w:val="24"/>
          <w:szCs w:val="24"/>
          <w:lang w:val="sq-AL"/>
        </w:rPr>
        <w:br/>
      </w:r>
      <w:r w:rsidRPr="00F27FA2">
        <w:rPr>
          <w:rFonts w:ascii="Times New Roman" w:eastAsia="Times New Roman" w:hAnsi="Times New Roman" w:cs="Times New Roman"/>
          <w:noProof/>
          <w:sz w:val="24"/>
          <w:szCs w:val="24"/>
          <w:lang w:val="sq-AL"/>
        </w:rPr>
        <w:br/>
      </w:r>
      <w:r w:rsidR="00AE4703">
        <w:rPr>
          <w:rFonts w:ascii="Times New Roman" w:eastAsia="Times New Roman" w:hAnsi="Times New Roman" w:cs="Times New Roman"/>
          <w:noProof/>
          <w:sz w:val="24"/>
          <w:szCs w:val="24"/>
          <w:lang w:val="sq-AL"/>
        </w:rPr>
        <w:t xml:space="preserve">    </w:t>
      </w:r>
      <w:r w:rsidRPr="00F27FA2">
        <w:rPr>
          <w:rFonts w:ascii="Times New Roman" w:eastAsia="Times New Roman" w:hAnsi="Times New Roman" w:cs="Times New Roman"/>
          <w:noProof/>
          <w:sz w:val="24"/>
          <w:szCs w:val="24"/>
          <w:lang w:val="sq-AL"/>
        </w:rPr>
        <w:t>Niveli i paraqitur i të hyrave vetanake në TM1 2026 nuk reflekton plotësisht potencialin total të të hyrave komunale për këtë vit fiskal. Me përfshirjen e kategorive të lartpërmendura në periudhat në vijim, pritet një rritje e mëtejshme e realizimit të të hyrave vetanake gjatë vitit 2026.</w:t>
      </w:r>
    </w:p>
    <w:p w14:paraId="7CACAF3B" w14:textId="3E8B403F" w:rsidR="00C3669B" w:rsidRPr="00F27FA2" w:rsidRDefault="00D3299C" w:rsidP="00F44A82">
      <w:pPr>
        <w:widowControl w:val="0"/>
        <w:autoSpaceDE w:val="0"/>
        <w:autoSpaceDN w:val="0"/>
        <w:adjustRightInd w:val="0"/>
        <w:spacing w:after="0" w:line="240" w:lineRule="auto"/>
        <w:jc w:val="both"/>
        <w:rPr>
          <w:rFonts w:ascii="Times New Roman" w:eastAsia="Times New Roman" w:hAnsi="Times New Roman" w:cs="Times New Roman"/>
          <w:b/>
          <w:sz w:val="24"/>
          <w:szCs w:val="24"/>
          <w:lang w:val="sq-AL"/>
        </w:rPr>
      </w:pPr>
      <w:r w:rsidRPr="00F27FA2">
        <w:rPr>
          <w:rFonts w:ascii="Times New Roman" w:eastAsia="Times New Roman" w:hAnsi="Times New Roman" w:cs="Times New Roman"/>
          <w:b/>
          <w:sz w:val="24"/>
          <w:szCs w:val="24"/>
          <w:lang w:val="sq-AL"/>
        </w:rPr>
        <w:t xml:space="preserve">Tabela nr. 3 – </w:t>
      </w:r>
      <w:proofErr w:type="spellStart"/>
      <w:r w:rsidRPr="00F27FA2">
        <w:rPr>
          <w:rFonts w:ascii="Times New Roman" w:eastAsia="Times New Roman" w:hAnsi="Times New Roman" w:cs="Times New Roman"/>
          <w:b/>
          <w:sz w:val="24"/>
          <w:szCs w:val="24"/>
          <w:lang w:val="sq-AL"/>
        </w:rPr>
        <w:t>Analitika</w:t>
      </w:r>
      <w:proofErr w:type="spellEnd"/>
      <w:r w:rsidRPr="00F27FA2">
        <w:rPr>
          <w:rFonts w:ascii="Times New Roman" w:eastAsia="Times New Roman" w:hAnsi="Times New Roman" w:cs="Times New Roman"/>
          <w:b/>
          <w:sz w:val="24"/>
          <w:szCs w:val="24"/>
          <w:lang w:val="sq-AL"/>
        </w:rPr>
        <w:t xml:space="preserve"> e shpenzimeve buxhetor</w:t>
      </w:r>
      <w:r w:rsidR="003F7F11" w:rsidRPr="00F27FA2">
        <w:rPr>
          <w:rFonts w:ascii="Times New Roman" w:eastAsia="Times New Roman" w:hAnsi="Times New Roman" w:cs="Times New Roman"/>
          <w:b/>
          <w:sz w:val="24"/>
          <w:szCs w:val="24"/>
          <w:lang w:val="sq-AL"/>
        </w:rPr>
        <w:t>e</w:t>
      </w:r>
      <w:r w:rsidRPr="00F27FA2">
        <w:rPr>
          <w:rFonts w:ascii="Times New Roman" w:eastAsia="Times New Roman" w:hAnsi="Times New Roman" w:cs="Times New Roman"/>
          <w:b/>
          <w:sz w:val="24"/>
          <w:szCs w:val="24"/>
          <w:lang w:val="sq-AL"/>
        </w:rPr>
        <w:t xml:space="preserve"> n</w:t>
      </w:r>
      <w:r w:rsidR="00AC19EB" w:rsidRPr="00F27FA2">
        <w:rPr>
          <w:rFonts w:ascii="Times New Roman" w:eastAsia="Times New Roman" w:hAnsi="Times New Roman" w:cs="Times New Roman"/>
          <w:b/>
          <w:sz w:val="24"/>
          <w:szCs w:val="24"/>
          <w:lang w:val="sq-AL"/>
        </w:rPr>
        <w:t>ë</w:t>
      </w:r>
      <w:r w:rsidRPr="00F27FA2">
        <w:rPr>
          <w:rFonts w:ascii="Times New Roman" w:eastAsia="Times New Roman" w:hAnsi="Times New Roman" w:cs="Times New Roman"/>
          <w:b/>
          <w:sz w:val="24"/>
          <w:szCs w:val="24"/>
          <w:lang w:val="sq-AL"/>
        </w:rPr>
        <w:t xml:space="preserve"> nënkategori </w:t>
      </w:r>
    </w:p>
    <w:p w14:paraId="0C41FE4D" w14:textId="0419D233" w:rsidR="0092154B" w:rsidRPr="00F27FA2" w:rsidRDefault="00C3669B" w:rsidP="0092154B">
      <w:pPr>
        <w:rPr>
          <w:rFonts w:ascii="Times New Roman" w:eastAsia="Times New Roman" w:hAnsi="Times New Roman" w:cs="Times New Roman"/>
          <w:sz w:val="24"/>
          <w:szCs w:val="24"/>
          <w:lang w:val="sq-AL"/>
        </w:rPr>
      </w:pPr>
      <w:r w:rsidRPr="00F27FA2">
        <w:rPr>
          <w:rFonts w:ascii="Times New Roman" w:eastAsia="Times New Roman" w:hAnsi="Times New Roman" w:cs="Times New Roman"/>
          <w:noProof/>
          <w:sz w:val="24"/>
          <w:szCs w:val="24"/>
        </w:rPr>
        <w:drawing>
          <wp:inline distT="0" distB="0" distL="0" distR="0" wp14:anchorId="01FDE048" wp14:editId="7AA90530">
            <wp:extent cx="6686550" cy="30213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86550" cy="3021330"/>
                    </a:xfrm>
                    <a:prstGeom prst="rect">
                      <a:avLst/>
                    </a:prstGeom>
                    <a:noFill/>
                    <a:ln>
                      <a:noFill/>
                    </a:ln>
                  </pic:spPr>
                </pic:pic>
              </a:graphicData>
            </a:graphic>
          </wp:inline>
        </w:drawing>
      </w:r>
    </w:p>
    <w:p w14:paraId="1DE64908" w14:textId="77777777" w:rsidR="000D28D8" w:rsidRDefault="000D28D8" w:rsidP="00140771">
      <w:pPr>
        <w:widowControl w:val="0"/>
        <w:pBdr>
          <w:bottom w:val="single" w:sz="4" w:space="4" w:color="auto"/>
        </w:pBdr>
        <w:tabs>
          <w:tab w:val="right" w:pos="0"/>
        </w:tabs>
        <w:autoSpaceDE w:val="0"/>
        <w:autoSpaceDN w:val="0"/>
        <w:adjustRightInd w:val="0"/>
        <w:spacing w:after="0" w:line="240" w:lineRule="auto"/>
        <w:jc w:val="both"/>
        <w:rPr>
          <w:rFonts w:ascii="Times New Roman" w:eastAsia="Times New Roman" w:hAnsi="Times New Roman" w:cs="Times New Roman"/>
          <w:b/>
          <w:sz w:val="24"/>
          <w:szCs w:val="24"/>
          <w:lang w:val="sq-AL"/>
        </w:rPr>
      </w:pPr>
    </w:p>
    <w:p w14:paraId="763F4668" w14:textId="77777777" w:rsidR="000D28D8" w:rsidRDefault="000D28D8" w:rsidP="00140771">
      <w:pPr>
        <w:widowControl w:val="0"/>
        <w:pBdr>
          <w:bottom w:val="single" w:sz="4" w:space="4" w:color="auto"/>
        </w:pBdr>
        <w:tabs>
          <w:tab w:val="right" w:pos="0"/>
        </w:tabs>
        <w:autoSpaceDE w:val="0"/>
        <w:autoSpaceDN w:val="0"/>
        <w:adjustRightInd w:val="0"/>
        <w:spacing w:after="0" w:line="240" w:lineRule="auto"/>
        <w:jc w:val="both"/>
        <w:rPr>
          <w:rFonts w:ascii="Times New Roman" w:eastAsia="Times New Roman" w:hAnsi="Times New Roman" w:cs="Times New Roman"/>
          <w:b/>
          <w:sz w:val="24"/>
          <w:szCs w:val="24"/>
          <w:lang w:val="sq-AL"/>
        </w:rPr>
      </w:pPr>
    </w:p>
    <w:p w14:paraId="78348D24" w14:textId="77777777" w:rsidR="000D28D8" w:rsidRDefault="000D28D8" w:rsidP="00140771">
      <w:pPr>
        <w:widowControl w:val="0"/>
        <w:pBdr>
          <w:bottom w:val="single" w:sz="4" w:space="4" w:color="auto"/>
        </w:pBdr>
        <w:tabs>
          <w:tab w:val="right" w:pos="0"/>
        </w:tabs>
        <w:autoSpaceDE w:val="0"/>
        <w:autoSpaceDN w:val="0"/>
        <w:adjustRightInd w:val="0"/>
        <w:spacing w:after="0" w:line="240" w:lineRule="auto"/>
        <w:jc w:val="both"/>
        <w:rPr>
          <w:rFonts w:ascii="Times New Roman" w:eastAsia="Times New Roman" w:hAnsi="Times New Roman" w:cs="Times New Roman"/>
          <w:b/>
          <w:sz w:val="24"/>
          <w:szCs w:val="24"/>
          <w:lang w:val="sq-AL"/>
        </w:rPr>
      </w:pPr>
    </w:p>
    <w:p w14:paraId="0BBB3AFE" w14:textId="6BF55975" w:rsidR="0046050C" w:rsidRPr="00F27FA2" w:rsidRDefault="00C3669B" w:rsidP="00181E6C">
      <w:pPr>
        <w:rPr>
          <w:rFonts w:ascii="Times New Roman" w:eastAsia="Times New Roman" w:hAnsi="Times New Roman" w:cs="Times New Roman"/>
          <w:sz w:val="24"/>
          <w:szCs w:val="24"/>
          <w:lang w:val="sq-AL"/>
        </w:rPr>
      </w:pPr>
      <w:r w:rsidRPr="00F27FA2">
        <w:rPr>
          <w:rFonts w:ascii="Times New Roman" w:eastAsia="Times New Roman" w:hAnsi="Times New Roman" w:cs="Times New Roman"/>
          <w:noProof/>
          <w:sz w:val="24"/>
          <w:szCs w:val="24"/>
        </w:rPr>
        <w:drawing>
          <wp:inline distT="0" distB="0" distL="0" distR="0" wp14:anchorId="7999627D" wp14:editId="70B4DD71">
            <wp:extent cx="6686550" cy="84429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86550" cy="8442960"/>
                    </a:xfrm>
                    <a:prstGeom prst="rect">
                      <a:avLst/>
                    </a:prstGeom>
                    <a:noFill/>
                    <a:ln>
                      <a:noFill/>
                    </a:ln>
                  </pic:spPr>
                </pic:pic>
              </a:graphicData>
            </a:graphic>
          </wp:inline>
        </w:drawing>
      </w:r>
      <w:bookmarkStart w:id="9" w:name="_Toc115870123"/>
    </w:p>
    <w:p w14:paraId="59853363" w14:textId="77777777" w:rsidR="007C0B3E" w:rsidRPr="00F27FA2" w:rsidRDefault="007C0B3E" w:rsidP="003065B1">
      <w:pPr>
        <w:widowControl w:val="0"/>
        <w:pBdr>
          <w:bottom w:val="single" w:sz="4" w:space="4" w:color="auto"/>
        </w:pBdr>
        <w:tabs>
          <w:tab w:val="right" w:pos="0"/>
        </w:tabs>
        <w:autoSpaceDE w:val="0"/>
        <w:autoSpaceDN w:val="0"/>
        <w:adjustRightInd w:val="0"/>
        <w:spacing w:after="0" w:line="240" w:lineRule="auto"/>
        <w:jc w:val="both"/>
        <w:rPr>
          <w:rFonts w:ascii="Times New Roman" w:eastAsia="Times New Roman" w:hAnsi="Times New Roman" w:cs="Times New Roman"/>
          <w:sz w:val="24"/>
          <w:szCs w:val="24"/>
          <w:lang w:val="sq-AL"/>
        </w:rPr>
      </w:pPr>
    </w:p>
    <w:p w14:paraId="28D2DC32" w14:textId="23B5E22C" w:rsidR="0046050C" w:rsidRPr="00F27FA2" w:rsidRDefault="00C3669B" w:rsidP="003065B1">
      <w:pPr>
        <w:widowControl w:val="0"/>
        <w:pBdr>
          <w:bottom w:val="single" w:sz="4" w:space="4" w:color="auto"/>
        </w:pBdr>
        <w:tabs>
          <w:tab w:val="right" w:pos="0"/>
        </w:tabs>
        <w:autoSpaceDE w:val="0"/>
        <w:autoSpaceDN w:val="0"/>
        <w:adjustRightInd w:val="0"/>
        <w:spacing w:after="0" w:line="240" w:lineRule="auto"/>
        <w:jc w:val="both"/>
        <w:rPr>
          <w:rFonts w:ascii="Times New Roman" w:eastAsia="Times New Roman" w:hAnsi="Times New Roman" w:cs="Times New Roman"/>
          <w:sz w:val="24"/>
          <w:szCs w:val="24"/>
          <w:lang w:val="sq-AL"/>
        </w:rPr>
      </w:pPr>
      <w:r w:rsidRPr="00F27FA2">
        <w:rPr>
          <w:rFonts w:ascii="Times New Roman" w:eastAsia="Times New Roman" w:hAnsi="Times New Roman" w:cs="Times New Roman"/>
          <w:noProof/>
          <w:sz w:val="24"/>
          <w:szCs w:val="24"/>
        </w:rPr>
        <w:drawing>
          <wp:inline distT="0" distB="0" distL="0" distR="0" wp14:anchorId="180B5089" wp14:editId="4BEB7222">
            <wp:extent cx="6686550" cy="304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86550" cy="3048000"/>
                    </a:xfrm>
                    <a:prstGeom prst="rect">
                      <a:avLst/>
                    </a:prstGeom>
                    <a:noFill/>
                    <a:ln>
                      <a:noFill/>
                    </a:ln>
                  </pic:spPr>
                </pic:pic>
              </a:graphicData>
            </a:graphic>
          </wp:inline>
        </w:drawing>
      </w:r>
    </w:p>
    <w:p w14:paraId="1A7D6A2F" w14:textId="77777777" w:rsidR="0046050C" w:rsidRPr="00F27FA2" w:rsidRDefault="0046050C" w:rsidP="003065B1">
      <w:pPr>
        <w:widowControl w:val="0"/>
        <w:pBdr>
          <w:bottom w:val="single" w:sz="4" w:space="4" w:color="auto"/>
        </w:pBdr>
        <w:tabs>
          <w:tab w:val="right" w:pos="0"/>
        </w:tabs>
        <w:autoSpaceDE w:val="0"/>
        <w:autoSpaceDN w:val="0"/>
        <w:adjustRightInd w:val="0"/>
        <w:spacing w:after="0" w:line="240" w:lineRule="auto"/>
        <w:jc w:val="both"/>
        <w:rPr>
          <w:rFonts w:ascii="Times New Roman" w:eastAsia="Times New Roman" w:hAnsi="Times New Roman" w:cs="Times New Roman"/>
          <w:sz w:val="24"/>
          <w:szCs w:val="24"/>
          <w:lang w:val="sq-AL"/>
        </w:rPr>
      </w:pPr>
    </w:p>
    <w:bookmarkEnd w:id="9"/>
    <w:p w14:paraId="75AC8E99" w14:textId="77777777" w:rsidR="00E91A71" w:rsidRPr="00F27FA2" w:rsidRDefault="00E91A71" w:rsidP="00E91A71">
      <w:pPr>
        <w:pStyle w:val="NormalWeb"/>
        <w:shd w:val="clear" w:color="auto" w:fill="FFFFFF"/>
        <w:spacing w:before="0" w:beforeAutospacing="0" w:after="180" w:afterAutospacing="0"/>
        <w:rPr>
          <w:lang w:val="sq-AL"/>
        </w:rPr>
      </w:pPr>
    </w:p>
    <w:p w14:paraId="190BCE7E" w14:textId="77777777" w:rsidR="00E91A71" w:rsidRPr="00F27FA2" w:rsidRDefault="00E91A71" w:rsidP="00E91A71">
      <w:pPr>
        <w:pStyle w:val="NormalWeb"/>
        <w:shd w:val="clear" w:color="auto" w:fill="FFFFFF"/>
        <w:spacing w:before="0" w:beforeAutospacing="0" w:after="180" w:afterAutospacing="0"/>
        <w:rPr>
          <w:lang w:val="sq-AL"/>
        </w:rPr>
      </w:pPr>
    </w:p>
    <w:p w14:paraId="59E0BD5A" w14:textId="284B1734" w:rsidR="00E91A71" w:rsidRPr="00F27FA2" w:rsidRDefault="005C23B1" w:rsidP="00E91A71">
      <w:pPr>
        <w:pStyle w:val="NormalWeb"/>
        <w:shd w:val="clear" w:color="auto" w:fill="FFFFFF"/>
        <w:spacing w:before="0" w:beforeAutospacing="0" w:after="180" w:afterAutospacing="0"/>
        <w:rPr>
          <w:lang w:val="sq-AL"/>
        </w:rPr>
      </w:pPr>
      <w:r>
        <w:rPr>
          <w:lang w:val="sq-AL"/>
        </w:rPr>
        <w:t xml:space="preserve">  </w:t>
      </w:r>
    </w:p>
    <w:p w14:paraId="3D063D7B" w14:textId="47A8E381" w:rsidR="00E91A71" w:rsidRPr="00F27FA2" w:rsidRDefault="005C23B1" w:rsidP="00E91A71">
      <w:pPr>
        <w:pStyle w:val="NormalWeb"/>
        <w:shd w:val="clear" w:color="auto" w:fill="FFFFFF"/>
        <w:spacing w:before="0" w:beforeAutospacing="0" w:after="180" w:afterAutospacing="0"/>
        <w:rPr>
          <w:noProof/>
          <w:lang w:val="sq-AL"/>
        </w:rPr>
      </w:pPr>
      <w:r>
        <w:rPr>
          <w:noProof/>
          <w:lang w:val="sq-AL"/>
        </w:rPr>
        <w:t xml:space="preserve">     </w:t>
      </w:r>
      <w:r w:rsidR="007317BD">
        <w:rPr>
          <w:noProof/>
          <w:lang w:val="sq-AL"/>
        </w:rPr>
        <w:t xml:space="preserve"> </w:t>
      </w:r>
      <w:r w:rsidR="00E91A71" w:rsidRPr="00F27FA2">
        <w:rPr>
          <w:noProof/>
          <w:lang w:val="sq-AL"/>
        </w:rPr>
        <w:t xml:space="preserve">Të dhënat në këtë </w:t>
      </w:r>
      <w:r w:rsidR="003F7F11" w:rsidRPr="00F27FA2">
        <w:rPr>
          <w:noProof/>
          <w:lang w:val="sq-AL"/>
        </w:rPr>
        <w:t>tabelë</w:t>
      </w:r>
      <w:r w:rsidR="00E91A71" w:rsidRPr="00F27FA2">
        <w:rPr>
          <w:noProof/>
          <w:lang w:val="sq-AL"/>
        </w:rPr>
        <w:t xml:space="preserve"> bazohen në realizimin faktik për Tremujorin e Parë (Janar – Mars 2026) dhe paraqesin strukturën e shpenzimeve sipas kategorive ekonomike, duke reflektuar menaxhimin financiar dhe përdorimin e burimeve publike në përputhje me planifikimin buxhetor.</w:t>
      </w:r>
    </w:p>
    <w:p w14:paraId="5FA3D365" w14:textId="561FDBCB" w:rsidR="00E91A71" w:rsidRPr="00F27FA2" w:rsidRDefault="005C23B1" w:rsidP="00E91A71">
      <w:pPr>
        <w:pStyle w:val="NormalWeb"/>
        <w:shd w:val="clear" w:color="auto" w:fill="FFFFFF"/>
        <w:spacing w:before="0" w:beforeAutospacing="0" w:after="210" w:afterAutospacing="0"/>
        <w:rPr>
          <w:noProof/>
          <w:lang w:val="sq-AL"/>
        </w:rPr>
      </w:pPr>
      <w:r>
        <w:rPr>
          <w:b/>
          <w:noProof/>
          <w:lang w:val="sq-AL"/>
        </w:rPr>
        <w:t xml:space="preserve">      </w:t>
      </w:r>
      <w:r w:rsidR="00C61BB6">
        <w:rPr>
          <w:b/>
          <w:noProof/>
          <w:lang w:val="sq-AL"/>
        </w:rPr>
        <w:t xml:space="preserve">           </w:t>
      </w:r>
      <w:r w:rsidR="00E91A71" w:rsidRPr="00F27FA2">
        <w:rPr>
          <w:b/>
          <w:noProof/>
          <w:lang w:val="sq-AL"/>
        </w:rPr>
        <w:t>Paga dhe Shtesa, gjithsej shpenzime: 4,108,209 €</w:t>
      </w:r>
      <w:r w:rsidR="00E91A71" w:rsidRPr="00F27FA2">
        <w:rPr>
          <w:b/>
          <w:noProof/>
          <w:lang w:val="sq-AL"/>
        </w:rPr>
        <w:br/>
      </w:r>
      <w:r>
        <w:rPr>
          <w:noProof/>
          <w:lang w:val="sq-AL"/>
        </w:rPr>
        <w:t xml:space="preserve">      </w:t>
      </w:r>
      <w:r w:rsidR="00E91A71" w:rsidRPr="00F27FA2">
        <w:rPr>
          <w:noProof/>
          <w:lang w:val="sq-AL"/>
        </w:rPr>
        <w:t>Kjo kategori përfshin pagat neto, tatimin në të ardhurat personale, kontributet pensionale të punonjësve dhe punëdhënësit, si dhe shtesat funksionale dhe përfitimet tjera në përputhje me legjislacionin në fuqi.</w:t>
      </w:r>
    </w:p>
    <w:p w14:paraId="179096BD" w14:textId="5A4F491A" w:rsidR="00E91A71" w:rsidRPr="00F27FA2" w:rsidRDefault="005C23B1" w:rsidP="00E91A71">
      <w:pPr>
        <w:pStyle w:val="NormalWeb"/>
        <w:shd w:val="clear" w:color="auto" w:fill="FFFFFF"/>
        <w:spacing w:before="0" w:beforeAutospacing="0" w:after="180" w:afterAutospacing="0"/>
        <w:rPr>
          <w:noProof/>
          <w:lang w:val="sq-AL"/>
        </w:rPr>
      </w:pPr>
      <w:r>
        <w:rPr>
          <w:noProof/>
          <w:lang w:val="sq-AL"/>
        </w:rPr>
        <w:t xml:space="preserve">      </w:t>
      </w:r>
      <w:r w:rsidR="00E91A71" w:rsidRPr="00F27FA2">
        <w:rPr>
          <w:noProof/>
          <w:lang w:val="sq-AL"/>
        </w:rPr>
        <w:t>Struktura e shpenzimeve paraqet një shpërndarje të qëndrueshme ndërmjet komponentëve kryesorë të kompensimit, ku pesha kryesore mbetet në pagën bazë dhe kontributet përkatëse. Elementet shtesë, përfshirë kujdestarinë dhe punën jashtë orarit, reflektojnë organizimin e punës dhe kërkesat operacionale të institucionit.</w:t>
      </w:r>
    </w:p>
    <w:p w14:paraId="67207DD8" w14:textId="7566F729" w:rsidR="00E91A71" w:rsidRPr="00F27FA2" w:rsidRDefault="005C23B1" w:rsidP="00E91A71">
      <w:pPr>
        <w:pStyle w:val="NormalWeb"/>
        <w:shd w:val="clear" w:color="auto" w:fill="FFFFFF"/>
        <w:spacing w:before="0" w:beforeAutospacing="0" w:after="180" w:afterAutospacing="0"/>
        <w:rPr>
          <w:noProof/>
          <w:lang w:val="sq-AL"/>
        </w:rPr>
      </w:pPr>
      <w:r>
        <w:rPr>
          <w:noProof/>
          <w:lang w:val="sq-AL"/>
        </w:rPr>
        <w:t xml:space="preserve">      </w:t>
      </w:r>
      <w:r w:rsidR="00E91A71" w:rsidRPr="00F27FA2">
        <w:rPr>
          <w:noProof/>
          <w:lang w:val="sq-AL"/>
        </w:rPr>
        <w:t>Realizimi i kësaj kategorie është në përputhje me planifikimin buxhetor dhe kuadrin ligjor në fuqi.</w:t>
      </w:r>
    </w:p>
    <w:p w14:paraId="717F48D5" w14:textId="74BD2B04" w:rsidR="00E91A71" w:rsidRPr="00F27FA2" w:rsidRDefault="00C61BB6" w:rsidP="00E91A71">
      <w:pPr>
        <w:pStyle w:val="NormalWeb"/>
        <w:shd w:val="clear" w:color="auto" w:fill="FFFFFF"/>
        <w:spacing w:before="0" w:beforeAutospacing="0" w:after="210" w:afterAutospacing="0"/>
        <w:rPr>
          <w:noProof/>
          <w:lang w:val="sq-AL"/>
        </w:rPr>
      </w:pPr>
      <w:r>
        <w:rPr>
          <w:b/>
          <w:noProof/>
          <w:lang w:val="sq-AL"/>
        </w:rPr>
        <w:t xml:space="preserve">          </w:t>
      </w:r>
      <w:r w:rsidR="005C23B1">
        <w:rPr>
          <w:b/>
          <w:noProof/>
          <w:lang w:val="sq-AL"/>
        </w:rPr>
        <w:t xml:space="preserve">  </w:t>
      </w:r>
      <w:r>
        <w:rPr>
          <w:b/>
          <w:noProof/>
          <w:lang w:val="sq-AL"/>
        </w:rPr>
        <w:t xml:space="preserve">     </w:t>
      </w:r>
      <w:r w:rsidR="00E91A71" w:rsidRPr="00F27FA2">
        <w:rPr>
          <w:b/>
          <w:noProof/>
          <w:lang w:val="sq-AL"/>
        </w:rPr>
        <w:t>Mallra dhe Shërbime, gjithsej shpenzime: 772,585 €</w:t>
      </w:r>
      <w:r w:rsidR="00E91A71" w:rsidRPr="00F27FA2">
        <w:rPr>
          <w:noProof/>
          <w:lang w:val="sq-AL"/>
        </w:rPr>
        <w:br/>
      </w:r>
      <w:r w:rsidR="005C23B1">
        <w:rPr>
          <w:noProof/>
          <w:lang w:val="sq-AL"/>
        </w:rPr>
        <w:t xml:space="preserve">      </w:t>
      </w:r>
      <w:r w:rsidR="00E91A71" w:rsidRPr="00F27FA2">
        <w:rPr>
          <w:noProof/>
          <w:lang w:val="sq-AL"/>
        </w:rPr>
        <w:t>Kjo kategori përfshin shpenzimet për furnizime me materiale, shërbime të jashtme, mirëmbajtje të objekteve, pajisje teknologjike dhe shërbime profesionale</w:t>
      </w:r>
      <w:r w:rsidR="003F7F11" w:rsidRPr="00F27FA2">
        <w:rPr>
          <w:noProof/>
          <w:lang w:val="sq-AL"/>
        </w:rPr>
        <w:t xml:space="preserve"> etj.</w:t>
      </w:r>
    </w:p>
    <w:p w14:paraId="6E57BBF3" w14:textId="7A329E57" w:rsidR="00E91A71" w:rsidRPr="00F27FA2" w:rsidRDefault="005C23B1" w:rsidP="00E91A71">
      <w:pPr>
        <w:pStyle w:val="NormalWeb"/>
        <w:shd w:val="clear" w:color="auto" w:fill="FFFFFF"/>
        <w:spacing w:before="0" w:beforeAutospacing="0" w:after="180" w:afterAutospacing="0"/>
        <w:rPr>
          <w:noProof/>
          <w:lang w:val="sq-AL"/>
        </w:rPr>
      </w:pPr>
      <w:r>
        <w:rPr>
          <w:noProof/>
          <w:lang w:val="sq-AL"/>
        </w:rPr>
        <w:t xml:space="preserve">     </w:t>
      </w:r>
      <w:r w:rsidR="00E91A71" w:rsidRPr="00F27FA2">
        <w:rPr>
          <w:noProof/>
          <w:lang w:val="sq-AL"/>
        </w:rPr>
        <w:t>Struktura e saj reflekton mbështetjen e gjerë të proceseve operative dhe administrative, duke përfshirë përdorimin e shërbimeve të specializuara dhe mirëmbajtjen e vazhdueshme të aseteve institucionale.</w:t>
      </w:r>
    </w:p>
    <w:p w14:paraId="572EACE3" w14:textId="3CD8A1F1" w:rsidR="00E91A71" w:rsidRPr="00F27FA2" w:rsidRDefault="005C23B1" w:rsidP="00E91A71">
      <w:pPr>
        <w:pStyle w:val="NormalWeb"/>
        <w:shd w:val="clear" w:color="auto" w:fill="FFFFFF"/>
        <w:spacing w:before="0" w:beforeAutospacing="0" w:after="180" w:afterAutospacing="0"/>
        <w:rPr>
          <w:noProof/>
          <w:lang w:val="sq-AL"/>
        </w:rPr>
      </w:pPr>
      <w:r>
        <w:rPr>
          <w:noProof/>
          <w:lang w:val="sq-AL"/>
        </w:rPr>
        <w:t xml:space="preserve">    </w:t>
      </w:r>
      <w:r w:rsidR="00E91A71" w:rsidRPr="00F27FA2">
        <w:rPr>
          <w:noProof/>
          <w:lang w:val="sq-AL"/>
        </w:rPr>
        <w:t>Kjo kategori kontribuon drejtpërdrejt në funksionimin efikas të administratës dhe realizimin e aktiviteteve të planifikuara.</w:t>
      </w:r>
    </w:p>
    <w:p w14:paraId="559DBAFA" w14:textId="02E05A9E" w:rsidR="007C0B3E" w:rsidRPr="00F27FA2" w:rsidRDefault="007C0B3E" w:rsidP="00E91A71">
      <w:pPr>
        <w:pStyle w:val="NormalWeb"/>
        <w:shd w:val="clear" w:color="auto" w:fill="FFFFFF"/>
        <w:spacing w:before="0" w:beforeAutospacing="0" w:after="210" w:afterAutospacing="0"/>
        <w:rPr>
          <w:b/>
          <w:noProof/>
          <w:lang w:val="sq-AL"/>
        </w:rPr>
      </w:pPr>
    </w:p>
    <w:p w14:paraId="20F6EC01" w14:textId="555646C9" w:rsidR="00E91A71" w:rsidRPr="00F27FA2" w:rsidRDefault="005C23B1" w:rsidP="00E91A71">
      <w:pPr>
        <w:pStyle w:val="NormalWeb"/>
        <w:shd w:val="clear" w:color="auto" w:fill="FFFFFF"/>
        <w:spacing w:before="0" w:beforeAutospacing="0" w:after="210" w:afterAutospacing="0"/>
        <w:rPr>
          <w:noProof/>
          <w:lang w:val="sq-AL"/>
        </w:rPr>
      </w:pPr>
      <w:r>
        <w:rPr>
          <w:b/>
          <w:noProof/>
          <w:lang w:val="sq-AL"/>
        </w:rPr>
        <w:t xml:space="preserve">       </w:t>
      </w:r>
      <w:r w:rsidR="00C61BB6">
        <w:rPr>
          <w:b/>
          <w:noProof/>
          <w:lang w:val="sq-AL"/>
        </w:rPr>
        <w:t xml:space="preserve">            </w:t>
      </w:r>
      <w:r w:rsidR="00E91A71" w:rsidRPr="00F27FA2">
        <w:rPr>
          <w:b/>
          <w:noProof/>
          <w:lang w:val="sq-AL"/>
        </w:rPr>
        <w:t>Shpenzime Komunale, gjithsej shpenzime: 138,349 €</w:t>
      </w:r>
      <w:r w:rsidR="00E91A71" w:rsidRPr="00F27FA2">
        <w:rPr>
          <w:noProof/>
          <w:lang w:val="sq-AL"/>
        </w:rPr>
        <w:br/>
      </w:r>
      <w:r>
        <w:rPr>
          <w:noProof/>
          <w:lang w:val="sq-AL"/>
        </w:rPr>
        <w:t xml:space="preserve">       </w:t>
      </w:r>
      <w:r w:rsidR="00E91A71" w:rsidRPr="00F27FA2">
        <w:rPr>
          <w:noProof/>
          <w:lang w:val="sq-AL"/>
        </w:rPr>
        <w:t>Kjo kategori përfshin shpenzimet për energji elektrike, shërbimet e ujësjellësit dhe kanalizimit, menaxhimin e mbeturinave dhe shërbimet e telekomunikimit.</w:t>
      </w:r>
    </w:p>
    <w:p w14:paraId="16AD54B6" w14:textId="2296D066" w:rsidR="00E91A71" w:rsidRPr="00F27FA2" w:rsidRDefault="005C23B1" w:rsidP="00E91A71">
      <w:pPr>
        <w:pStyle w:val="NormalWeb"/>
        <w:shd w:val="clear" w:color="auto" w:fill="FFFFFF"/>
        <w:spacing w:before="0" w:beforeAutospacing="0" w:after="180" w:afterAutospacing="0"/>
        <w:rPr>
          <w:noProof/>
          <w:lang w:val="sq-AL"/>
        </w:rPr>
      </w:pPr>
      <w:r>
        <w:rPr>
          <w:noProof/>
          <w:lang w:val="sq-AL"/>
        </w:rPr>
        <w:t xml:space="preserve">     </w:t>
      </w:r>
      <w:r w:rsidR="00E91A71" w:rsidRPr="00F27FA2">
        <w:rPr>
          <w:noProof/>
          <w:lang w:val="sq-AL"/>
        </w:rPr>
        <w:t>Ajo përfaqëson një komponent esencial për funksionimin bazë të objekteve dhe shërbimeve publike, duke reflektuar konsum të rregullt dhe të domosdoshëm për operimin normal institucional.</w:t>
      </w:r>
    </w:p>
    <w:p w14:paraId="24869776" w14:textId="77777777" w:rsidR="003F7F11" w:rsidRPr="00F27FA2" w:rsidRDefault="003F7F11" w:rsidP="00E91A71">
      <w:pPr>
        <w:pStyle w:val="NormalWeb"/>
        <w:shd w:val="clear" w:color="auto" w:fill="FFFFFF"/>
        <w:spacing w:before="0" w:beforeAutospacing="0" w:after="210" w:afterAutospacing="0"/>
        <w:rPr>
          <w:b/>
          <w:noProof/>
          <w:lang w:val="sq-AL"/>
        </w:rPr>
      </w:pPr>
    </w:p>
    <w:p w14:paraId="3CA38E51" w14:textId="04B1980E" w:rsidR="00E91A71" w:rsidRPr="00F27FA2" w:rsidRDefault="005C23B1" w:rsidP="00E91A71">
      <w:pPr>
        <w:pStyle w:val="NormalWeb"/>
        <w:shd w:val="clear" w:color="auto" w:fill="FFFFFF"/>
        <w:spacing w:before="0" w:beforeAutospacing="0" w:after="210" w:afterAutospacing="0"/>
        <w:rPr>
          <w:noProof/>
          <w:lang w:val="sq-AL"/>
        </w:rPr>
      </w:pPr>
      <w:r>
        <w:rPr>
          <w:b/>
          <w:noProof/>
          <w:lang w:val="sq-AL"/>
        </w:rPr>
        <w:t xml:space="preserve">      </w:t>
      </w:r>
      <w:r w:rsidR="00C61BB6">
        <w:rPr>
          <w:b/>
          <w:noProof/>
          <w:lang w:val="sq-AL"/>
        </w:rPr>
        <w:t xml:space="preserve">             </w:t>
      </w:r>
      <w:r w:rsidR="00E91A71" w:rsidRPr="00F27FA2">
        <w:rPr>
          <w:b/>
          <w:noProof/>
          <w:lang w:val="sq-AL"/>
        </w:rPr>
        <w:t>Subvencione, gjithsej shpenzime: 150,877 €</w:t>
      </w:r>
      <w:r w:rsidR="00E91A71" w:rsidRPr="00F27FA2">
        <w:rPr>
          <w:noProof/>
          <w:lang w:val="sq-AL"/>
        </w:rPr>
        <w:br/>
      </w:r>
      <w:r>
        <w:rPr>
          <w:noProof/>
          <w:lang w:val="sq-AL"/>
        </w:rPr>
        <w:t xml:space="preserve">     </w:t>
      </w:r>
      <w:r w:rsidR="00E91A71" w:rsidRPr="00F27FA2">
        <w:rPr>
          <w:noProof/>
          <w:lang w:val="sq-AL"/>
        </w:rPr>
        <w:t>Kjo kategori përfshin subvencionet për entitete publike, transfertat për përfitues individual dhe pagesat për raste sociale.</w:t>
      </w:r>
    </w:p>
    <w:p w14:paraId="2424D698" w14:textId="7DB041A0" w:rsidR="00E91A71" w:rsidRPr="00F27FA2" w:rsidRDefault="005C23B1" w:rsidP="00E91A71">
      <w:pPr>
        <w:pStyle w:val="NormalWeb"/>
        <w:shd w:val="clear" w:color="auto" w:fill="FFFFFF"/>
        <w:spacing w:before="0" w:beforeAutospacing="0" w:after="180" w:afterAutospacing="0"/>
        <w:rPr>
          <w:noProof/>
          <w:lang w:val="sq-AL"/>
        </w:rPr>
      </w:pPr>
      <w:r>
        <w:rPr>
          <w:noProof/>
          <w:lang w:val="sq-AL"/>
        </w:rPr>
        <w:t xml:space="preserve">      </w:t>
      </w:r>
      <w:r w:rsidR="00E91A71" w:rsidRPr="00F27FA2">
        <w:rPr>
          <w:noProof/>
          <w:lang w:val="sq-AL"/>
        </w:rPr>
        <w:t>Struktura e saj reflekton angazhimin institucional në mbështetje të aktiviteteve publike dhe sociale, duke kontribuar në zhvillimin e komunitetit dhe realizimin e politikave sociale.</w:t>
      </w:r>
    </w:p>
    <w:p w14:paraId="240BAD44" w14:textId="166DA243" w:rsidR="00E91A71" w:rsidRPr="00F27FA2" w:rsidRDefault="005C23B1" w:rsidP="00E91A71">
      <w:pPr>
        <w:pStyle w:val="NormalWeb"/>
        <w:shd w:val="clear" w:color="auto" w:fill="FFFFFF"/>
        <w:spacing w:before="0" w:beforeAutospacing="0" w:after="180" w:afterAutospacing="0"/>
        <w:rPr>
          <w:noProof/>
          <w:lang w:val="sq-AL"/>
        </w:rPr>
      </w:pPr>
      <w:r>
        <w:rPr>
          <w:noProof/>
          <w:lang w:val="sq-AL"/>
        </w:rPr>
        <w:t xml:space="preserve">      </w:t>
      </w:r>
      <w:r w:rsidR="00E91A71" w:rsidRPr="00F27FA2">
        <w:rPr>
          <w:noProof/>
          <w:lang w:val="sq-AL"/>
        </w:rPr>
        <w:t>Shpenzimet për TM1 2026 janë realizuar në përputhje me planin dhe buxhetin e miratuar, duke respektuar legjislacionin në fuqi dhe standardet e menaxhimit financiar.</w:t>
      </w:r>
    </w:p>
    <w:p w14:paraId="6F02DCF2" w14:textId="300DF12B" w:rsidR="00E91A71" w:rsidRPr="00F27FA2" w:rsidRDefault="005C23B1" w:rsidP="00E91A71">
      <w:pPr>
        <w:pStyle w:val="NormalWeb"/>
        <w:shd w:val="clear" w:color="auto" w:fill="FFFFFF"/>
        <w:spacing w:before="0" w:beforeAutospacing="0" w:after="180" w:afterAutospacing="0"/>
        <w:rPr>
          <w:noProof/>
          <w:lang w:val="sq-AL"/>
        </w:rPr>
      </w:pPr>
      <w:r>
        <w:rPr>
          <w:noProof/>
          <w:lang w:val="sq-AL"/>
        </w:rPr>
        <w:t xml:space="preserve">      </w:t>
      </w:r>
      <w:r w:rsidR="00E91A71" w:rsidRPr="00F27FA2">
        <w:rPr>
          <w:noProof/>
          <w:lang w:val="sq-AL"/>
        </w:rPr>
        <w:t>Struktura e përgjithshme e shpenzimeve paraqet një balancë ndërmjet kostove të personelit, shpenzimeve operative, shërbimeve bazë dhe mbështetjes sociale, duke siguruar funksionim të qëndrueshëm dhe efikas të institucionit.</w:t>
      </w:r>
    </w:p>
    <w:p w14:paraId="71DA68A5" w14:textId="112A5A49" w:rsidR="00601A7E" w:rsidRPr="00F27FA2" w:rsidRDefault="00601A7E" w:rsidP="00323EE6">
      <w:pPr>
        <w:spacing w:before="240" w:after="0" w:line="240" w:lineRule="auto"/>
        <w:rPr>
          <w:rFonts w:ascii="Times New Roman" w:eastAsia="Times New Roman" w:hAnsi="Times New Roman" w:cs="Times New Roman"/>
          <w:b/>
          <w:bCs/>
          <w:sz w:val="24"/>
          <w:szCs w:val="24"/>
          <w:lang w:val="sq-AL"/>
        </w:rPr>
      </w:pPr>
    </w:p>
    <w:p w14:paraId="19FE8931" w14:textId="440FCD68" w:rsidR="006069CC" w:rsidRPr="00F27FA2" w:rsidRDefault="006069CC" w:rsidP="00323EE6">
      <w:pPr>
        <w:spacing w:before="240" w:after="0" w:line="240" w:lineRule="auto"/>
        <w:rPr>
          <w:rFonts w:ascii="Times New Roman" w:hAnsi="Times New Roman" w:cs="Times New Roman"/>
          <w:b/>
          <w:sz w:val="24"/>
          <w:szCs w:val="24"/>
        </w:rPr>
      </w:pPr>
    </w:p>
    <w:p w14:paraId="4B1A96AD" w14:textId="77777777" w:rsidR="00181E6C" w:rsidRDefault="00181E6C" w:rsidP="00323EE6">
      <w:pPr>
        <w:spacing w:before="240" w:after="0" w:line="240" w:lineRule="auto"/>
        <w:rPr>
          <w:rFonts w:ascii="Times New Roman" w:hAnsi="Times New Roman" w:cs="Times New Roman"/>
          <w:b/>
          <w:noProof/>
          <w:sz w:val="18"/>
          <w:szCs w:val="18"/>
        </w:rPr>
      </w:pPr>
    </w:p>
    <w:p w14:paraId="3B840E04" w14:textId="77777777" w:rsidR="00181E6C" w:rsidRDefault="00181E6C" w:rsidP="00323EE6">
      <w:pPr>
        <w:spacing w:before="240" w:after="0" w:line="240" w:lineRule="auto"/>
        <w:rPr>
          <w:rFonts w:ascii="Times New Roman" w:hAnsi="Times New Roman" w:cs="Times New Roman"/>
          <w:b/>
          <w:noProof/>
          <w:sz w:val="18"/>
          <w:szCs w:val="18"/>
        </w:rPr>
      </w:pPr>
    </w:p>
    <w:p w14:paraId="18E6B5DC" w14:textId="77777777" w:rsidR="00181E6C" w:rsidRDefault="00181E6C" w:rsidP="00323EE6">
      <w:pPr>
        <w:spacing w:before="240" w:after="0" w:line="240" w:lineRule="auto"/>
        <w:rPr>
          <w:rFonts w:ascii="Times New Roman" w:hAnsi="Times New Roman" w:cs="Times New Roman"/>
          <w:b/>
          <w:noProof/>
          <w:sz w:val="18"/>
          <w:szCs w:val="18"/>
        </w:rPr>
      </w:pPr>
    </w:p>
    <w:p w14:paraId="314CCF06" w14:textId="77777777" w:rsidR="00181E6C" w:rsidRDefault="00181E6C" w:rsidP="00323EE6">
      <w:pPr>
        <w:spacing w:before="240" w:after="0" w:line="240" w:lineRule="auto"/>
        <w:rPr>
          <w:rFonts w:ascii="Times New Roman" w:hAnsi="Times New Roman" w:cs="Times New Roman"/>
          <w:b/>
          <w:noProof/>
          <w:sz w:val="18"/>
          <w:szCs w:val="18"/>
        </w:rPr>
      </w:pPr>
    </w:p>
    <w:p w14:paraId="54BC37D7" w14:textId="77777777" w:rsidR="00181E6C" w:rsidRDefault="00181E6C" w:rsidP="00323EE6">
      <w:pPr>
        <w:spacing w:before="240" w:after="0" w:line="240" w:lineRule="auto"/>
        <w:rPr>
          <w:rFonts w:ascii="Times New Roman" w:hAnsi="Times New Roman" w:cs="Times New Roman"/>
          <w:b/>
          <w:noProof/>
          <w:sz w:val="18"/>
          <w:szCs w:val="18"/>
        </w:rPr>
      </w:pPr>
    </w:p>
    <w:p w14:paraId="331073B6" w14:textId="77777777" w:rsidR="00181E6C" w:rsidRDefault="00181E6C" w:rsidP="00323EE6">
      <w:pPr>
        <w:spacing w:before="240" w:after="0" w:line="240" w:lineRule="auto"/>
        <w:rPr>
          <w:rFonts w:ascii="Times New Roman" w:hAnsi="Times New Roman" w:cs="Times New Roman"/>
          <w:b/>
          <w:noProof/>
          <w:sz w:val="18"/>
          <w:szCs w:val="18"/>
        </w:rPr>
      </w:pPr>
    </w:p>
    <w:p w14:paraId="782FEB2A" w14:textId="77777777" w:rsidR="00181E6C" w:rsidRDefault="00181E6C" w:rsidP="00323EE6">
      <w:pPr>
        <w:spacing w:before="240" w:after="0" w:line="240" w:lineRule="auto"/>
        <w:rPr>
          <w:rFonts w:ascii="Times New Roman" w:hAnsi="Times New Roman" w:cs="Times New Roman"/>
          <w:b/>
          <w:noProof/>
          <w:sz w:val="18"/>
          <w:szCs w:val="18"/>
        </w:rPr>
      </w:pPr>
    </w:p>
    <w:p w14:paraId="5E170894" w14:textId="3FA1989A" w:rsidR="00181E6C" w:rsidRDefault="00181E6C" w:rsidP="00323EE6">
      <w:pPr>
        <w:spacing w:before="240" w:after="0" w:line="240" w:lineRule="auto"/>
        <w:rPr>
          <w:rFonts w:ascii="Times New Roman" w:hAnsi="Times New Roman" w:cs="Times New Roman"/>
          <w:b/>
          <w:noProof/>
          <w:sz w:val="18"/>
          <w:szCs w:val="18"/>
        </w:rPr>
      </w:pPr>
    </w:p>
    <w:p w14:paraId="35681381" w14:textId="74C1013E" w:rsidR="00F01EDE" w:rsidRDefault="00F01EDE" w:rsidP="00323EE6">
      <w:pPr>
        <w:spacing w:before="240" w:after="0" w:line="240" w:lineRule="auto"/>
        <w:rPr>
          <w:rFonts w:ascii="Times New Roman" w:hAnsi="Times New Roman" w:cs="Times New Roman"/>
          <w:b/>
          <w:noProof/>
          <w:sz w:val="18"/>
          <w:szCs w:val="18"/>
        </w:rPr>
      </w:pPr>
    </w:p>
    <w:p w14:paraId="2B59AF5F" w14:textId="2AA98F21" w:rsidR="00F01EDE" w:rsidRDefault="00F01EDE" w:rsidP="00323EE6">
      <w:pPr>
        <w:spacing w:before="240" w:after="0" w:line="240" w:lineRule="auto"/>
        <w:rPr>
          <w:rFonts w:ascii="Times New Roman" w:hAnsi="Times New Roman" w:cs="Times New Roman"/>
          <w:b/>
          <w:noProof/>
          <w:sz w:val="18"/>
          <w:szCs w:val="18"/>
        </w:rPr>
      </w:pPr>
    </w:p>
    <w:p w14:paraId="45E4A0A2" w14:textId="6EF330CE" w:rsidR="00F01EDE" w:rsidRDefault="00F01EDE" w:rsidP="00323EE6">
      <w:pPr>
        <w:spacing w:before="240" w:after="0" w:line="240" w:lineRule="auto"/>
        <w:rPr>
          <w:rFonts w:ascii="Times New Roman" w:hAnsi="Times New Roman" w:cs="Times New Roman"/>
          <w:b/>
          <w:noProof/>
          <w:sz w:val="18"/>
          <w:szCs w:val="18"/>
        </w:rPr>
      </w:pPr>
    </w:p>
    <w:p w14:paraId="02A43365" w14:textId="7054542C" w:rsidR="00F01EDE" w:rsidRDefault="00F01EDE" w:rsidP="00323EE6">
      <w:pPr>
        <w:spacing w:before="240" w:after="0" w:line="240" w:lineRule="auto"/>
        <w:rPr>
          <w:rFonts w:ascii="Times New Roman" w:hAnsi="Times New Roman" w:cs="Times New Roman"/>
          <w:b/>
          <w:noProof/>
          <w:sz w:val="18"/>
          <w:szCs w:val="18"/>
        </w:rPr>
      </w:pPr>
    </w:p>
    <w:p w14:paraId="6E2E1BD0" w14:textId="77777777" w:rsidR="00F01EDE" w:rsidRDefault="00F01EDE" w:rsidP="00323EE6">
      <w:pPr>
        <w:spacing w:before="240" w:after="0" w:line="240" w:lineRule="auto"/>
        <w:rPr>
          <w:rFonts w:ascii="Times New Roman" w:hAnsi="Times New Roman" w:cs="Times New Roman"/>
          <w:b/>
          <w:noProof/>
          <w:sz w:val="18"/>
          <w:szCs w:val="18"/>
        </w:rPr>
      </w:pPr>
    </w:p>
    <w:p w14:paraId="437DE5EA" w14:textId="34B10F4D" w:rsidR="00CF2407" w:rsidRPr="00F27FA2" w:rsidRDefault="00823321" w:rsidP="00323EE6">
      <w:pPr>
        <w:spacing w:before="240" w:after="0" w:line="240" w:lineRule="auto"/>
        <w:rPr>
          <w:rFonts w:ascii="Times New Roman" w:hAnsi="Times New Roman" w:cs="Times New Roman"/>
          <w:b/>
          <w:noProof/>
          <w:sz w:val="18"/>
          <w:szCs w:val="18"/>
        </w:rPr>
      </w:pPr>
      <w:r w:rsidRPr="00F27FA2">
        <w:rPr>
          <w:rFonts w:ascii="Times New Roman" w:hAnsi="Times New Roman" w:cs="Times New Roman"/>
          <w:b/>
          <w:noProof/>
          <w:sz w:val="18"/>
          <w:szCs w:val="18"/>
        </w:rPr>
        <w:t xml:space="preserve">Tabela 4 – Projektet Kapitale </w:t>
      </w:r>
    </w:p>
    <w:p w14:paraId="61F3FD0D" w14:textId="683FC1FF" w:rsidR="0030000B" w:rsidRDefault="00C3669B" w:rsidP="0030000B">
      <w:pPr>
        <w:spacing w:before="240" w:after="0" w:line="240" w:lineRule="auto"/>
        <w:ind w:firstLine="432"/>
        <w:rPr>
          <w:rFonts w:ascii="Times New Roman" w:hAnsi="Times New Roman" w:cs="Times New Roman"/>
          <w:b/>
          <w:sz w:val="24"/>
          <w:szCs w:val="24"/>
        </w:rPr>
      </w:pPr>
      <w:r w:rsidRPr="00F27FA2">
        <w:rPr>
          <w:rFonts w:ascii="Times New Roman" w:hAnsi="Times New Roman" w:cs="Times New Roman"/>
          <w:b/>
          <w:noProof/>
          <w:sz w:val="24"/>
          <w:szCs w:val="24"/>
        </w:rPr>
        <w:drawing>
          <wp:inline distT="0" distB="0" distL="0" distR="0" wp14:anchorId="0BA3E705" wp14:editId="3AF4929F">
            <wp:extent cx="6369685" cy="79343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72336" cy="7937627"/>
                    </a:xfrm>
                    <a:prstGeom prst="rect">
                      <a:avLst/>
                    </a:prstGeom>
                    <a:noFill/>
                    <a:ln>
                      <a:noFill/>
                    </a:ln>
                  </pic:spPr>
                </pic:pic>
              </a:graphicData>
            </a:graphic>
          </wp:inline>
        </w:drawing>
      </w:r>
    </w:p>
    <w:p w14:paraId="606E4F7D" w14:textId="6F3BBF22" w:rsidR="0046050C" w:rsidRPr="00F27FA2" w:rsidRDefault="00181E6C" w:rsidP="00555B2A">
      <w:pPr>
        <w:spacing w:before="240" w:after="0" w:line="240" w:lineRule="auto"/>
        <w:rPr>
          <w:rFonts w:ascii="Times New Roman" w:hAnsi="Times New Roman" w:cs="Times New Roman"/>
          <w:b/>
          <w:sz w:val="24"/>
          <w:szCs w:val="24"/>
        </w:rPr>
      </w:pPr>
      <w:r w:rsidRPr="00F27FA2">
        <w:rPr>
          <w:rFonts w:ascii="Times New Roman" w:hAnsi="Times New Roman" w:cs="Times New Roman"/>
          <w:b/>
          <w:noProof/>
          <w:sz w:val="24"/>
          <w:szCs w:val="24"/>
        </w:rPr>
        <w:drawing>
          <wp:inline distT="0" distB="0" distL="0" distR="0" wp14:anchorId="192DAAB1" wp14:editId="3D2C988F">
            <wp:extent cx="6369050" cy="8153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219" cy="8193301"/>
                    </a:xfrm>
                    <a:prstGeom prst="rect">
                      <a:avLst/>
                    </a:prstGeom>
                    <a:noFill/>
                    <a:ln>
                      <a:noFill/>
                    </a:ln>
                  </pic:spPr>
                </pic:pic>
              </a:graphicData>
            </a:graphic>
          </wp:inline>
        </w:drawing>
      </w:r>
    </w:p>
    <w:p w14:paraId="769E0207" w14:textId="56CDF6BF" w:rsidR="003A3489" w:rsidRPr="00F27FA2" w:rsidRDefault="000D59EC" w:rsidP="00555B2A">
      <w:pPr>
        <w:spacing w:before="240" w:after="0" w:line="240" w:lineRule="auto"/>
        <w:rPr>
          <w:rFonts w:ascii="Times New Roman" w:hAnsi="Times New Roman" w:cs="Times New Roman"/>
          <w:b/>
          <w:sz w:val="24"/>
          <w:szCs w:val="24"/>
        </w:rPr>
      </w:pPr>
      <w:r w:rsidRPr="00F27FA2">
        <w:rPr>
          <w:rFonts w:ascii="Times New Roman" w:hAnsi="Times New Roman" w:cs="Times New Roman"/>
          <w:b/>
          <w:noProof/>
          <w:sz w:val="24"/>
          <w:szCs w:val="24"/>
        </w:rPr>
        <w:drawing>
          <wp:inline distT="0" distB="0" distL="0" distR="0" wp14:anchorId="118F14FF" wp14:editId="438B7995">
            <wp:extent cx="6686550" cy="9994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86550" cy="999490"/>
                    </a:xfrm>
                    <a:prstGeom prst="rect">
                      <a:avLst/>
                    </a:prstGeom>
                    <a:noFill/>
                    <a:ln>
                      <a:noFill/>
                    </a:ln>
                  </pic:spPr>
                </pic:pic>
              </a:graphicData>
            </a:graphic>
          </wp:inline>
        </w:drawing>
      </w:r>
    </w:p>
    <w:p w14:paraId="6F5549F4" w14:textId="77777777" w:rsidR="00C61BB6" w:rsidRDefault="00C31AB6" w:rsidP="00E93F68">
      <w:pPr>
        <w:pStyle w:val="NormalWeb"/>
        <w:shd w:val="clear" w:color="auto" w:fill="FFFFFF"/>
        <w:spacing w:before="0" w:beforeAutospacing="0" w:after="180" w:afterAutospacing="0"/>
        <w:rPr>
          <w:noProof/>
          <w:lang w:val="sq-AL"/>
        </w:rPr>
      </w:pPr>
      <w:r>
        <w:rPr>
          <w:noProof/>
          <w:lang w:val="sq-AL"/>
        </w:rPr>
        <w:t xml:space="preserve">   </w:t>
      </w:r>
    </w:p>
    <w:p w14:paraId="34324AE4" w14:textId="6EE2FEA9" w:rsidR="00E93F68" w:rsidRPr="00F27FA2" w:rsidRDefault="007317BD" w:rsidP="00E93F68">
      <w:pPr>
        <w:pStyle w:val="NormalWeb"/>
        <w:shd w:val="clear" w:color="auto" w:fill="FFFFFF"/>
        <w:spacing w:before="0" w:beforeAutospacing="0" w:after="180" w:afterAutospacing="0"/>
        <w:rPr>
          <w:noProof/>
          <w:lang w:val="sq-AL"/>
        </w:rPr>
      </w:pPr>
      <w:r>
        <w:rPr>
          <w:noProof/>
          <w:lang w:val="sq-AL"/>
        </w:rPr>
        <w:t xml:space="preserve">     </w:t>
      </w:r>
      <w:r w:rsidR="00C31AB6">
        <w:rPr>
          <w:noProof/>
          <w:lang w:val="sq-AL"/>
        </w:rPr>
        <w:t xml:space="preserve"> </w:t>
      </w:r>
      <w:r w:rsidR="00E93F68" w:rsidRPr="00F27FA2">
        <w:rPr>
          <w:noProof/>
          <w:lang w:val="sq-AL"/>
        </w:rPr>
        <w:t>Të dhënat në këtë tabelë bazohen në realizimin për TM1- 2026 (Janar – Mars 2026) dhe paraqesin gjendjen e projekteve kapitale të Komunës së Skenderajt, të financuara nga granti qeveritar dhe të hyrat vetanake, duke reflektuar nivelin e planifikimit dhe realizimit buxhetor.</w:t>
      </w:r>
    </w:p>
    <w:p w14:paraId="086FE27A" w14:textId="19DE5248" w:rsidR="00E93F68" w:rsidRPr="00F27FA2" w:rsidRDefault="00C31AB6" w:rsidP="00E93F68">
      <w:pPr>
        <w:pStyle w:val="NormalWeb"/>
        <w:shd w:val="clear" w:color="auto" w:fill="FFFFFF"/>
        <w:spacing w:before="0" w:beforeAutospacing="0" w:after="180" w:afterAutospacing="0"/>
        <w:rPr>
          <w:noProof/>
          <w:lang w:val="sq-AL"/>
        </w:rPr>
      </w:pPr>
      <w:r>
        <w:rPr>
          <w:noProof/>
          <w:lang w:val="sq-AL"/>
        </w:rPr>
        <w:t xml:space="preserve">      </w:t>
      </w:r>
      <w:r w:rsidR="00E93F68" w:rsidRPr="00F27FA2">
        <w:rPr>
          <w:noProof/>
          <w:lang w:val="sq-AL"/>
        </w:rPr>
        <w:t>Gjatë TM1 2026, realizimi i shpenzimeve në kategorinë e investimeve kapitale paraqitet në nivel minimal. Kjo situatë është rezultat i vonesës në miratimin e Ligjit të Buxhetit për vitin 2026, i cili ka ndikuar drejtpërdrejt në ekzekutimin e pagesave në këtë kategori.</w:t>
      </w:r>
    </w:p>
    <w:p w14:paraId="47500709" w14:textId="4CDFB9D5" w:rsidR="00E93F68" w:rsidRPr="00F27FA2" w:rsidRDefault="00C31AB6" w:rsidP="00E93F68">
      <w:pPr>
        <w:pStyle w:val="NormalWeb"/>
        <w:shd w:val="clear" w:color="auto" w:fill="FFFFFF"/>
        <w:spacing w:before="0" w:beforeAutospacing="0" w:after="180" w:afterAutospacing="0"/>
        <w:rPr>
          <w:noProof/>
          <w:lang w:val="sq-AL"/>
        </w:rPr>
      </w:pPr>
      <w:r>
        <w:rPr>
          <w:noProof/>
          <w:lang w:val="sq-AL"/>
        </w:rPr>
        <w:t xml:space="preserve">    </w:t>
      </w:r>
      <w:r w:rsidR="007317BD">
        <w:rPr>
          <w:noProof/>
          <w:lang w:val="sq-AL"/>
        </w:rPr>
        <w:t xml:space="preserve"> </w:t>
      </w:r>
      <w:r>
        <w:rPr>
          <w:noProof/>
          <w:lang w:val="sq-AL"/>
        </w:rPr>
        <w:t xml:space="preserve"> </w:t>
      </w:r>
      <w:r w:rsidR="00E93F68" w:rsidRPr="00F27FA2">
        <w:rPr>
          <w:noProof/>
          <w:lang w:val="sq-AL"/>
        </w:rPr>
        <w:t>Përgjatë kësaj periudhe, institucionet kanë operuar sipas skemës së financimit të përkohshëm, bazuar në parimin 1/12 të buxhetit të vitit paraprak. Ky kufizim ligjor ka pamundësuar realizimin e pagesave për projekte kapitale deri në fund të tremujorit.</w:t>
      </w:r>
    </w:p>
    <w:p w14:paraId="642ABE42" w14:textId="155083DF" w:rsidR="00E93F68" w:rsidRPr="00F27FA2" w:rsidRDefault="00C31AB6" w:rsidP="00E93F68">
      <w:pPr>
        <w:pStyle w:val="NormalWeb"/>
        <w:shd w:val="clear" w:color="auto" w:fill="FFFFFF"/>
        <w:spacing w:before="0" w:beforeAutospacing="0" w:after="180" w:afterAutospacing="0"/>
        <w:rPr>
          <w:noProof/>
          <w:lang w:val="sq-AL"/>
        </w:rPr>
      </w:pPr>
      <w:r>
        <w:rPr>
          <w:noProof/>
          <w:lang w:val="sq-AL"/>
        </w:rPr>
        <w:t xml:space="preserve">     </w:t>
      </w:r>
      <w:r w:rsidR="007317BD">
        <w:rPr>
          <w:noProof/>
          <w:lang w:val="sq-AL"/>
        </w:rPr>
        <w:t xml:space="preserve"> </w:t>
      </w:r>
      <w:r w:rsidR="00E93F68" w:rsidRPr="00F27FA2">
        <w:rPr>
          <w:noProof/>
          <w:lang w:val="sq-AL"/>
        </w:rPr>
        <w:t>Si rezultat, projektet e planifikuara, si nga grantet qeveritare ashtu edhe nga të hyrat vetanake, kanë mbetur kryesisht në fazën e planifikimit dhe përgatitjes, pa reflektim në realizim financiar gjatë kësaj periudhe.</w:t>
      </w:r>
    </w:p>
    <w:p w14:paraId="56D1C996" w14:textId="552B323F" w:rsidR="00E93F68" w:rsidRPr="00F27FA2" w:rsidRDefault="00C31AB6" w:rsidP="00E93F68">
      <w:pPr>
        <w:pStyle w:val="NormalWeb"/>
        <w:shd w:val="clear" w:color="auto" w:fill="FFFFFF"/>
        <w:spacing w:before="0" w:beforeAutospacing="0" w:after="180" w:afterAutospacing="0"/>
        <w:rPr>
          <w:noProof/>
          <w:lang w:val="sq-AL"/>
        </w:rPr>
      </w:pPr>
      <w:r>
        <w:rPr>
          <w:noProof/>
          <w:lang w:val="sq-AL"/>
        </w:rPr>
        <w:t xml:space="preserve">      </w:t>
      </w:r>
      <w:r w:rsidR="00E93F68" w:rsidRPr="00F27FA2">
        <w:rPr>
          <w:noProof/>
          <w:lang w:val="sq-AL"/>
        </w:rPr>
        <w:t>Projektet e përfshira në këtë raport përfshijnë investime në infrastrukturë rrugore, ujësjellës, kanalizim, ndriçim publik, objekte publike, si dhe pajisje kapitale.</w:t>
      </w:r>
    </w:p>
    <w:p w14:paraId="1878764C" w14:textId="6C585413" w:rsidR="00E93F68" w:rsidRPr="00F27FA2" w:rsidRDefault="00C31AB6" w:rsidP="00E93F68">
      <w:pPr>
        <w:pStyle w:val="NormalWeb"/>
        <w:shd w:val="clear" w:color="auto" w:fill="FFFFFF"/>
        <w:spacing w:before="0" w:beforeAutospacing="0" w:after="180" w:afterAutospacing="0"/>
        <w:rPr>
          <w:noProof/>
          <w:lang w:val="sq-AL"/>
        </w:rPr>
      </w:pPr>
      <w:r>
        <w:rPr>
          <w:noProof/>
          <w:lang w:val="sq-AL"/>
        </w:rPr>
        <w:t xml:space="preserve">      </w:t>
      </w:r>
      <w:r w:rsidR="00E93F68" w:rsidRPr="00F27FA2">
        <w:rPr>
          <w:noProof/>
          <w:lang w:val="sq-AL"/>
        </w:rPr>
        <w:t xml:space="preserve">Këto projekte përfaqësojnë prioritete zhvillimore të komunës dhe janë të orientuara drejt përmirësimit të </w:t>
      </w:r>
      <w:r>
        <w:rPr>
          <w:noProof/>
          <w:lang w:val="sq-AL"/>
        </w:rPr>
        <w:t xml:space="preserve">  </w:t>
      </w:r>
      <w:r w:rsidR="00E93F68" w:rsidRPr="00F27FA2">
        <w:rPr>
          <w:noProof/>
          <w:lang w:val="sq-AL"/>
        </w:rPr>
        <w:t>kushteve të jetesës dhe ofrimit të shërbimeve më cilësore për qytetarët.</w:t>
      </w:r>
    </w:p>
    <w:p w14:paraId="605F0ABD" w14:textId="21FCACD2" w:rsidR="00E93F68" w:rsidRPr="00F27FA2" w:rsidRDefault="00C31AB6" w:rsidP="00E93F68">
      <w:pPr>
        <w:pStyle w:val="NormalWeb"/>
        <w:shd w:val="clear" w:color="auto" w:fill="FFFFFF"/>
        <w:spacing w:before="0" w:beforeAutospacing="0" w:after="180" w:afterAutospacing="0"/>
        <w:rPr>
          <w:noProof/>
          <w:lang w:val="sq-AL"/>
        </w:rPr>
      </w:pPr>
      <w:r>
        <w:rPr>
          <w:noProof/>
          <w:lang w:val="sq-AL"/>
        </w:rPr>
        <w:t xml:space="preserve">      </w:t>
      </w:r>
      <w:r w:rsidR="00E93F68" w:rsidRPr="00F27FA2">
        <w:rPr>
          <w:noProof/>
          <w:lang w:val="sq-AL"/>
        </w:rPr>
        <w:t>Në kushtet e kufizimeve buxhetore, pagesat gjatë TM1 2026 janë realizuar kryesisht në kategoritë operative, përfshirë mallra dhe shërbime, subvencione dhe shpenzime komunale.</w:t>
      </w:r>
    </w:p>
    <w:p w14:paraId="392BD94A" w14:textId="06DBC69E" w:rsidR="00E93F68" w:rsidRPr="00F27FA2" w:rsidRDefault="00C31AB6" w:rsidP="00E93F68">
      <w:pPr>
        <w:pStyle w:val="NormalWeb"/>
        <w:shd w:val="clear" w:color="auto" w:fill="FFFFFF"/>
        <w:spacing w:before="0" w:beforeAutospacing="0" w:after="180" w:afterAutospacing="0"/>
        <w:rPr>
          <w:noProof/>
          <w:lang w:val="sq-AL"/>
        </w:rPr>
      </w:pPr>
      <w:r>
        <w:rPr>
          <w:noProof/>
          <w:lang w:val="sq-AL"/>
        </w:rPr>
        <w:t xml:space="preserve">     </w:t>
      </w:r>
      <w:r w:rsidR="00E93F68" w:rsidRPr="00F27FA2">
        <w:rPr>
          <w:noProof/>
          <w:lang w:val="sq-AL"/>
        </w:rPr>
        <w:t>Kjo ka mundësuar funksionimin normal të institucionit dhe vazhdimësinë e shërbimeve publike, ndërkohë që pagesat për investimet kapitale kanë mbetur të pezulluara deri në krijimin e bazës së plotë ligjore për ekzekutimin e tyre.</w:t>
      </w:r>
    </w:p>
    <w:p w14:paraId="29C9BFA2" w14:textId="3035D4C6" w:rsidR="00E93F68" w:rsidRPr="00F27FA2" w:rsidRDefault="00C31AB6" w:rsidP="00E93F68">
      <w:pPr>
        <w:pStyle w:val="NormalWeb"/>
        <w:shd w:val="clear" w:color="auto" w:fill="FFFFFF"/>
        <w:spacing w:before="0" w:beforeAutospacing="0" w:after="180" w:afterAutospacing="0"/>
        <w:rPr>
          <w:noProof/>
          <w:lang w:val="sq-AL"/>
        </w:rPr>
      </w:pPr>
      <w:r>
        <w:rPr>
          <w:noProof/>
          <w:lang w:val="sq-AL"/>
        </w:rPr>
        <w:t xml:space="preserve">      </w:t>
      </w:r>
      <w:r w:rsidR="00E93F68" w:rsidRPr="00F27FA2">
        <w:rPr>
          <w:noProof/>
          <w:lang w:val="sq-AL"/>
        </w:rPr>
        <w:t>Niveli i ulët i realizimit në kategorinë e investimeve kapitale për TM1 2026 është i ndërlidhur me faktorë proceduralë dhe ligjorë, dhe nuk reflekton mungesë të planifikimit apo të kapaciteteve institucionale.</w:t>
      </w:r>
    </w:p>
    <w:p w14:paraId="3BC9614D" w14:textId="328E01AA" w:rsidR="00E93F68" w:rsidRPr="00F27FA2" w:rsidRDefault="00C31AB6" w:rsidP="00E93F68">
      <w:pPr>
        <w:pStyle w:val="NormalWeb"/>
        <w:shd w:val="clear" w:color="auto" w:fill="FFFFFF"/>
        <w:spacing w:before="0" w:beforeAutospacing="0" w:after="180" w:afterAutospacing="0"/>
        <w:rPr>
          <w:noProof/>
          <w:lang w:val="sq-AL"/>
        </w:rPr>
      </w:pPr>
      <w:r>
        <w:rPr>
          <w:noProof/>
          <w:lang w:val="sq-AL"/>
        </w:rPr>
        <w:t xml:space="preserve">      </w:t>
      </w:r>
      <w:r w:rsidR="00E93F68" w:rsidRPr="00F27FA2">
        <w:rPr>
          <w:noProof/>
          <w:lang w:val="sq-AL"/>
        </w:rPr>
        <w:t>Me hyrjen në fuqi të Ligjit të Buxhetit për vitin 2026, pritet një dinamikë më e lartë në realizimin e projekteve kapitale gjatë tremujorëve vijues, duke përmirësuar ndjeshëm performancën buxhetore në këtë kategori</w:t>
      </w:r>
    </w:p>
    <w:p w14:paraId="72CE3981" w14:textId="77777777" w:rsidR="0030000B" w:rsidRDefault="0030000B" w:rsidP="00555B2A">
      <w:pPr>
        <w:spacing w:before="240" w:after="0" w:line="240" w:lineRule="auto"/>
        <w:rPr>
          <w:rFonts w:ascii="Times New Roman" w:hAnsi="Times New Roman" w:cs="Times New Roman"/>
          <w:b/>
          <w:noProof/>
          <w:sz w:val="24"/>
          <w:szCs w:val="24"/>
          <w:lang w:val="sq-AL"/>
        </w:rPr>
      </w:pPr>
    </w:p>
    <w:p w14:paraId="31937981" w14:textId="77777777" w:rsidR="00F01EDE" w:rsidRDefault="00F01EDE" w:rsidP="00555B2A">
      <w:pPr>
        <w:spacing w:before="240" w:after="0" w:line="240" w:lineRule="auto"/>
        <w:rPr>
          <w:rFonts w:ascii="Times New Roman" w:hAnsi="Times New Roman" w:cs="Times New Roman"/>
          <w:b/>
          <w:noProof/>
          <w:sz w:val="24"/>
          <w:szCs w:val="24"/>
          <w:lang w:val="sq-AL"/>
        </w:rPr>
      </w:pPr>
    </w:p>
    <w:p w14:paraId="51415CC2" w14:textId="77777777" w:rsidR="00F01EDE" w:rsidRDefault="00F01EDE" w:rsidP="00555B2A">
      <w:pPr>
        <w:spacing w:before="240" w:after="0" w:line="240" w:lineRule="auto"/>
        <w:rPr>
          <w:rFonts w:ascii="Times New Roman" w:hAnsi="Times New Roman" w:cs="Times New Roman"/>
          <w:b/>
          <w:noProof/>
          <w:sz w:val="24"/>
          <w:szCs w:val="24"/>
          <w:lang w:val="sq-AL"/>
        </w:rPr>
      </w:pPr>
    </w:p>
    <w:p w14:paraId="66F471E4" w14:textId="77777777" w:rsidR="00F01EDE" w:rsidRDefault="00F01EDE" w:rsidP="00555B2A">
      <w:pPr>
        <w:spacing w:before="240" w:after="0" w:line="240" w:lineRule="auto"/>
        <w:rPr>
          <w:rFonts w:ascii="Times New Roman" w:hAnsi="Times New Roman" w:cs="Times New Roman"/>
          <w:b/>
          <w:noProof/>
          <w:sz w:val="24"/>
          <w:szCs w:val="24"/>
          <w:lang w:val="sq-AL"/>
        </w:rPr>
      </w:pPr>
    </w:p>
    <w:p w14:paraId="2DFEFF56" w14:textId="53906EB8" w:rsidR="006E2003" w:rsidRPr="00F27FA2" w:rsidRDefault="00BE6588" w:rsidP="00555B2A">
      <w:pPr>
        <w:spacing w:before="240" w:after="0" w:line="240" w:lineRule="auto"/>
        <w:rPr>
          <w:rFonts w:ascii="Times New Roman" w:hAnsi="Times New Roman" w:cs="Times New Roman"/>
          <w:b/>
          <w:noProof/>
          <w:sz w:val="24"/>
          <w:szCs w:val="24"/>
          <w:lang w:val="sq-AL"/>
        </w:rPr>
      </w:pPr>
      <w:r w:rsidRPr="00F27FA2">
        <w:rPr>
          <w:rFonts w:ascii="Times New Roman" w:hAnsi="Times New Roman" w:cs="Times New Roman"/>
          <w:b/>
          <w:noProof/>
          <w:sz w:val="24"/>
          <w:szCs w:val="24"/>
          <w:lang w:val="sq-AL"/>
        </w:rPr>
        <w:t>Tabela</w:t>
      </w:r>
      <w:r w:rsidR="00A314F7" w:rsidRPr="00F27FA2">
        <w:rPr>
          <w:rFonts w:ascii="Times New Roman" w:hAnsi="Times New Roman" w:cs="Times New Roman"/>
          <w:b/>
          <w:noProof/>
          <w:sz w:val="24"/>
          <w:szCs w:val="24"/>
          <w:lang w:val="sq-AL"/>
        </w:rPr>
        <w:t xml:space="preserve"> </w:t>
      </w:r>
      <w:r w:rsidR="0030000B">
        <w:rPr>
          <w:rFonts w:ascii="Times New Roman" w:hAnsi="Times New Roman" w:cs="Times New Roman"/>
          <w:b/>
          <w:noProof/>
          <w:sz w:val="24"/>
          <w:szCs w:val="24"/>
          <w:lang w:val="sq-AL"/>
        </w:rPr>
        <w:t>N</w:t>
      </w:r>
      <w:r w:rsidR="00A314F7" w:rsidRPr="00F27FA2">
        <w:rPr>
          <w:rFonts w:ascii="Times New Roman" w:hAnsi="Times New Roman" w:cs="Times New Roman"/>
          <w:b/>
          <w:noProof/>
          <w:sz w:val="24"/>
          <w:szCs w:val="24"/>
          <w:lang w:val="sq-AL"/>
        </w:rPr>
        <w:t>r.5</w:t>
      </w:r>
      <w:r w:rsidR="0030000B">
        <w:rPr>
          <w:rFonts w:ascii="Times New Roman" w:hAnsi="Times New Roman" w:cs="Times New Roman"/>
          <w:b/>
          <w:noProof/>
          <w:sz w:val="24"/>
          <w:szCs w:val="24"/>
          <w:lang w:val="sq-AL"/>
        </w:rPr>
        <w:t>.</w:t>
      </w:r>
      <w:r w:rsidR="00A314F7" w:rsidRPr="00F27FA2">
        <w:rPr>
          <w:rFonts w:ascii="Times New Roman" w:hAnsi="Times New Roman" w:cs="Times New Roman"/>
          <w:b/>
          <w:noProof/>
          <w:sz w:val="24"/>
          <w:szCs w:val="24"/>
          <w:lang w:val="sq-AL"/>
        </w:rPr>
        <w:t xml:space="preserve"> </w:t>
      </w:r>
      <w:r w:rsidR="0030000B">
        <w:rPr>
          <w:rFonts w:ascii="Times New Roman" w:hAnsi="Times New Roman" w:cs="Times New Roman"/>
          <w:b/>
          <w:noProof/>
          <w:sz w:val="24"/>
          <w:szCs w:val="24"/>
          <w:lang w:val="sq-AL"/>
        </w:rPr>
        <w:t>S</w:t>
      </w:r>
      <w:r w:rsidR="00A314F7" w:rsidRPr="00F27FA2">
        <w:rPr>
          <w:rFonts w:ascii="Times New Roman" w:hAnsi="Times New Roman" w:cs="Times New Roman"/>
          <w:b/>
          <w:noProof/>
          <w:sz w:val="24"/>
          <w:szCs w:val="24"/>
          <w:lang w:val="sq-AL"/>
        </w:rPr>
        <w:t>hpenzimet</w:t>
      </w:r>
      <w:r w:rsidRPr="00F27FA2">
        <w:rPr>
          <w:rFonts w:ascii="Times New Roman" w:hAnsi="Times New Roman" w:cs="Times New Roman"/>
          <w:b/>
          <w:noProof/>
          <w:sz w:val="24"/>
          <w:szCs w:val="24"/>
          <w:lang w:val="sq-AL"/>
        </w:rPr>
        <w:t xml:space="preserve"> sipas programeve </w:t>
      </w:r>
    </w:p>
    <w:p w14:paraId="63F9CDEE" w14:textId="4CA94167" w:rsidR="006E2003" w:rsidRPr="00F27FA2" w:rsidRDefault="000D59EC" w:rsidP="00555B2A">
      <w:pPr>
        <w:spacing w:before="240" w:after="0" w:line="240" w:lineRule="auto"/>
        <w:rPr>
          <w:rFonts w:ascii="Times New Roman" w:hAnsi="Times New Roman" w:cs="Times New Roman"/>
          <w:b/>
          <w:sz w:val="24"/>
          <w:szCs w:val="24"/>
        </w:rPr>
      </w:pPr>
      <w:r w:rsidRPr="00F27FA2">
        <w:rPr>
          <w:rFonts w:ascii="Times New Roman" w:hAnsi="Times New Roman" w:cs="Times New Roman"/>
          <w:b/>
          <w:noProof/>
          <w:sz w:val="24"/>
          <w:szCs w:val="24"/>
        </w:rPr>
        <w:drawing>
          <wp:inline distT="0" distB="0" distL="0" distR="0" wp14:anchorId="6EB8C166" wp14:editId="3C3F20A5">
            <wp:extent cx="6686550" cy="78390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86550" cy="7839075"/>
                    </a:xfrm>
                    <a:prstGeom prst="rect">
                      <a:avLst/>
                    </a:prstGeom>
                    <a:noFill/>
                    <a:ln>
                      <a:noFill/>
                    </a:ln>
                  </pic:spPr>
                </pic:pic>
              </a:graphicData>
            </a:graphic>
          </wp:inline>
        </w:drawing>
      </w:r>
    </w:p>
    <w:p w14:paraId="4AF703AC" w14:textId="679A51B5" w:rsidR="004112FB" w:rsidRPr="00F27FA2" w:rsidRDefault="004112FB" w:rsidP="004112FB">
      <w:pPr>
        <w:pStyle w:val="NormalWeb"/>
        <w:shd w:val="clear" w:color="auto" w:fill="FFFFFF"/>
        <w:spacing w:before="0" w:beforeAutospacing="0" w:after="180" w:afterAutospacing="0"/>
        <w:rPr>
          <w:lang w:val="sq-AL"/>
        </w:rPr>
      </w:pPr>
    </w:p>
    <w:p w14:paraId="2D3BAF2B" w14:textId="51D4889F" w:rsidR="004112FB" w:rsidRPr="00F27FA2" w:rsidRDefault="00FE4D33" w:rsidP="004112FB">
      <w:pPr>
        <w:pStyle w:val="NormalWeb"/>
        <w:shd w:val="clear" w:color="auto" w:fill="FFFFFF"/>
        <w:spacing w:before="0" w:beforeAutospacing="0" w:after="180" w:afterAutospacing="0"/>
        <w:rPr>
          <w:noProof/>
          <w:lang w:val="sq-AL"/>
        </w:rPr>
      </w:pPr>
      <w:r>
        <w:rPr>
          <w:noProof/>
          <w:lang w:val="sq-AL"/>
        </w:rPr>
        <w:t xml:space="preserve">      </w:t>
      </w:r>
      <w:r w:rsidR="004112FB" w:rsidRPr="00F27FA2">
        <w:rPr>
          <w:noProof/>
          <w:lang w:val="sq-AL"/>
        </w:rPr>
        <w:t>Në përfundim, realizimi i buxhetit për T</w:t>
      </w:r>
      <w:r w:rsidR="00B32D0A">
        <w:rPr>
          <w:noProof/>
          <w:lang w:val="sq-AL"/>
        </w:rPr>
        <w:t xml:space="preserve">M1  </w:t>
      </w:r>
      <w:r w:rsidR="004112FB" w:rsidRPr="00F27FA2">
        <w:rPr>
          <w:noProof/>
          <w:lang w:val="sq-AL"/>
        </w:rPr>
        <w:t>2026 karakterizohet nga një qasje e kujdesshme dhe e kontrolluar në menaxhimin e financave publike.</w:t>
      </w:r>
    </w:p>
    <w:p w14:paraId="6FEB2DB9" w14:textId="3EF0E370" w:rsidR="004112FB" w:rsidRPr="00F27FA2" w:rsidRDefault="00FE4D33" w:rsidP="004112FB">
      <w:pPr>
        <w:pStyle w:val="NormalWeb"/>
        <w:shd w:val="clear" w:color="auto" w:fill="FFFFFF"/>
        <w:spacing w:before="0" w:beforeAutospacing="0" w:after="180" w:afterAutospacing="0"/>
        <w:rPr>
          <w:noProof/>
          <w:lang w:val="sq-AL"/>
        </w:rPr>
      </w:pPr>
      <w:r>
        <w:rPr>
          <w:noProof/>
          <w:lang w:val="sq-AL"/>
        </w:rPr>
        <w:t xml:space="preserve">     </w:t>
      </w:r>
      <w:r w:rsidR="004112FB" w:rsidRPr="00F27FA2">
        <w:rPr>
          <w:noProof/>
          <w:lang w:val="sq-AL"/>
        </w:rPr>
        <w:t>Gjatë kësaj periudhe, aktiviteti financiar është zhvilluar në kushte të kufizimeve ligjore për shkak të vonesës në miratimin e Ligjit të Buxhetit për vitin 2026, duke ndikuar në ritmin e ekzekutimit veçanërisht të investimeve kapitale. Si rezultat, fokusi kryesor ka qenë në mbulimin e shpenzimeve esenciale dhe sigurimin e vazhdimësisë së funksionimit institucional.</w:t>
      </w:r>
    </w:p>
    <w:p w14:paraId="1493D69F" w14:textId="5FCF5DC6" w:rsidR="004112FB" w:rsidRPr="00F27FA2" w:rsidRDefault="00FE4D33" w:rsidP="004112FB">
      <w:pPr>
        <w:pStyle w:val="NormalWeb"/>
        <w:shd w:val="clear" w:color="auto" w:fill="FFFFFF"/>
        <w:spacing w:before="0" w:beforeAutospacing="0" w:after="180" w:afterAutospacing="0"/>
        <w:rPr>
          <w:noProof/>
          <w:lang w:val="sq-AL"/>
        </w:rPr>
      </w:pPr>
      <w:r>
        <w:rPr>
          <w:noProof/>
          <w:lang w:val="sq-AL"/>
        </w:rPr>
        <w:t xml:space="preserve">     </w:t>
      </w:r>
      <w:r w:rsidR="004112FB" w:rsidRPr="00F27FA2">
        <w:rPr>
          <w:noProof/>
          <w:lang w:val="sq-AL"/>
        </w:rPr>
        <w:t>Pavarësisht këtyre kufizimeve, struktura e shpenzimeve tregon disiplinë financiare dhe përputhje me prioritetet buxhetore, duke garantuar stabilitet operacional dhe ofrim të pandërprerë të shërbimeve publike.</w:t>
      </w:r>
    </w:p>
    <w:p w14:paraId="069D3DF9" w14:textId="2190B0C5" w:rsidR="004112FB" w:rsidRPr="00F27FA2" w:rsidRDefault="00FE4D33" w:rsidP="004112FB">
      <w:pPr>
        <w:pStyle w:val="NormalWeb"/>
        <w:shd w:val="clear" w:color="auto" w:fill="FFFFFF"/>
        <w:spacing w:before="0" w:beforeAutospacing="0" w:after="180" w:afterAutospacing="0"/>
        <w:rPr>
          <w:noProof/>
          <w:lang w:val="sq-AL"/>
        </w:rPr>
      </w:pPr>
      <w:r>
        <w:rPr>
          <w:noProof/>
          <w:lang w:val="sq-AL"/>
        </w:rPr>
        <w:t xml:space="preserve">    </w:t>
      </w:r>
      <w:r w:rsidR="004112FB" w:rsidRPr="00F27FA2">
        <w:rPr>
          <w:noProof/>
          <w:lang w:val="sq-AL"/>
        </w:rPr>
        <w:t>Me krijimin e bazës së plotë ligjore për ekzekutimin e buxhetit, pritet që në periudhat në vijim të ketë intensifikim të realizimit të projekteve dhe përmirësim të mëtejshëm të performancës financiare.</w:t>
      </w:r>
    </w:p>
    <w:p w14:paraId="3D8E3192" w14:textId="13A35E75" w:rsidR="003C695C" w:rsidRPr="00F27FA2" w:rsidRDefault="003C695C" w:rsidP="0041473E">
      <w:pPr>
        <w:spacing w:before="240" w:after="0" w:line="240" w:lineRule="auto"/>
        <w:rPr>
          <w:rFonts w:ascii="Times New Roman" w:eastAsia="Times New Roman" w:hAnsi="Times New Roman" w:cs="Times New Roman"/>
          <w:sz w:val="24"/>
          <w:szCs w:val="24"/>
          <w:lang w:val="sq-AL"/>
        </w:rPr>
      </w:pPr>
    </w:p>
    <w:p w14:paraId="131075AD" w14:textId="465562DC" w:rsidR="003C695C" w:rsidRPr="00F27FA2" w:rsidRDefault="003C695C" w:rsidP="0041473E">
      <w:pPr>
        <w:spacing w:before="240" w:after="0" w:line="240" w:lineRule="auto"/>
        <w:rPr>
          <w:rFonts w:ascii="Times New Roman" w:hAnsi="Times New Roman" w:cs="Times New Roman"/>
          <w:noProof/>
          <w:sz w:val="24"/>
          <w:szCs w:val="24"/>
        </w:rPr>
      </w:pPr>
    </w:p>
    <w:p w14:paraId="49CEB24E" w14:textId="0DC09072" w:rsidR="00ED4691" w:rsidRPr="00F27FA2" w:rsidRDefault="00ED4691" w:rsidP="0041473E">
      <w:pPr>
        <w:spacing w:before="240" w:after="0" w:line="240" w:lineRule="auto"/>
        <w:rPr>
          <w:rFonts w:ascii="Times New Roman" w:hAnsi="Times New Roman" w:cs="Times New Roman"/>
          <w:b/>
          <w:sz w:val="24"/>
          <w:szCs w:val="24"/>
        </w:rPr>
      </w:pPr>
    </w:p>
    <w:p w14:paraId="2F72142C" w14:textId="0BCDB808" w:rsidR="004112FB" w:rsidRPr="00F27FA2" w:rsidRDefault="004112FB" w:rsidP="0041473E">
      <w:pPr>
        <w:spacing w:before="240" w:after="0" w:line="240" w:lineRule="auto"/>
        <w:rPr>
          <w:rFonts w:ascii="Times New Roman" w:hAnsi="Times New Roman" w:cs="Times New Roman"/>
          <w:b/>
          <w:sz w:val="24"/>
          <w:szCs w:val="24"/>
        </w:rPr>
      </w:pPr>
    </w:p>
    <w:p w14:paraId="6E19B550" w14:textId="3BDE56F9" w:rsidR="004112FB" w:rsidRPr="00F27FA2" w:rsidRDefault="004112FB" w:rsidP="0041473E">
      <w:pPr>
        <w:spacing w:before="240" w:after="0" w:line="240" w:lineRule="auto"/>
        <w:rPr>
          <w:rFonts w:ascii="Times New Roman" w:hAnsi="Times New Roman" w:cs="Times New Roman"/>
          <w:b/>
          <w:sz w:val="24"/>
          <w:szCs w:val="24"/>
        </w:rPr>
      </w:pPr>
    </w:p>
    <w:p w14:paraId="5BBB722F" w14:textId="3441B450" w:rsidR="004112FB" w:rsidRPr="00F27FA2" w:rsidRDefault="00B60129" w:rsidP="0041473E">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942EEB7" w14:textId="0B40FE8B" w:rsidR="004112FB" w:rsidRPr="00F27FA2" w:rsidRDefault="004112FB" w:rsidP="0041473E">
      <w:pPr>
        <w:spacing w:before="240" w:after="0" w:line="240" w:lineRule="auto"/>
        <w:rPr>
          <w:rFonts w:ascii="Times New Roman" w:hAnsi="Times New Roman" w:cs="Times New Roman"/>
          <w:b/>
          <w:sz w:val="24"/>
          <w:szCs w:val="24"/>
        </w:rPr>
      </w:pPr>
    </w:p>
    <w:p w14:paraId="5771D923" w14:textId="3DD96B90" w:rsidR="004112FB" w:rsidRPr="00F27FA2" w:rsidRDefault="004112FB" w:rsidP="0041473E">
      <w:pPr>
        <w:spacing w:before="240" w:after="0" w:line="240" w:lineRule="auto"/>
        <w:rPr>
          <w:rFonts w:ascii="Times New Roman" w:hAnsi="Times New Roman" w:cs="Times New Roman"/>
          <w:b/>
          <w:sz w:val="24"/>
          <w:szCs w:val="24"/>
        </w:rPr>
      </w:pPr>
    </w:p>
    <w:p w14:paraId="59003F97" w14:textId="77777777" w:rsidR="004112FB" w:rsidRPr="00F27FA2" w:rsidRDefault="004112FB" w:rsidP="0041473E">
      <w:pPr>
        <w:spacing w:before="240" w:after="0" w:line="240" w:lineRule="auto"/>
        <w:rPr>
          <w:rFonts w:ascii="Times New Roman" w:hAnsi="Times New Roman" w:cs="Times New Roman"/>
          <w:b/>
          <w:sz w:val="24"/>
          <w:szCs w:val="24"/>
        </w:rPr>
      </w:pPr>
    </w:p>
    <w:p w14:paraId="2BF92F5E" w14:textId="6C5A22ED" w:rsidR="004112FB" w:rsidRPr="00F27FA2" w:rsidRDefault="004112FB" w:rsidP="0041473E">
      <w:pPr>
        <w:spacing w:before="240" w:after="0" w:line="240" w:lineRule="auto"/>
        <w:rPr>
          <w:rFonts w:ascii="Times New Roman" w:hAnsi="Times New Roman" w:cs="Times New Roman"/>
          <w:b/>
          <w:sz w:val="24"/>
          <w:szCs w:val="24"/>
        </w:rPr>
      </w:pPr>
    </w:p>
    <w:p w14:paraId="2650BA69" w14:textId="77777777" w:rsidR="004112FB" w:rsidRPr="00F27FA2" w:rsidRDefault="004112FB" w:rsidP="0041473E">
      <w:pPr>
        <w:spacing w:before="240" w:after="0" w:line="240" w:lineRule="auto"/>
        <w:rPr>
          <w:rFonts w:ascii="Times New Roman" w:hAnsi="Times New Roman" w:cs="Times New Roman"/>
          <w:b/>
          <w:sz w:val="24"/>
          <w:szCs w:val="24"/>
        </w:rPr>
      </w:pPr>
    </w:p>
    <w:p w14:paraId="5C10F36E" w14:textId="77777777" w:rsidR="00E7272C" w:rsidRPr="00F27FA2" w:rsidRDefault="00E7272C" w:rsidP="00885EAE">
      <w:pPr>
        <w:spacing w:after="0" w:line="240" w:lineRule="auto"/>
        <w:ind w:left="432" w:firstLine="432"/>
        <w:rPr>
          <w:rFonts w:ascii="Times New Roman" w:hAnsi="Times New Roman" w:cs="Times New Roman"/>
          <w:sz w:val="24"/>
          <w:szCs w:val="24"/>
        </w:rPr>
      </w:pPr>
    </w:p>
    <w:p w14:paraId="6B633C68" w14:textId="77777777" w:rsidR="00E7272C" w:rsidRPr="00F27FA2" w:rsidRDefault="00E7272C" w:rsidP="00885EAE">
      <w:pPr>
        <w:spacing w:after="0" w:line="240" w:lineRule="auto"/>
        <w:ind w:left="432" w:firstLine="432"/>
        <w:rPr>
          <w:rFonts w:ascii="Times New Roman" w:hAnsi="Times New Roman" w:cs="Times New Roman"/>
          <w:sz w:val="24"/>
          <w:szCs w:val="24"/>
        </w:rPr>
      </w:pPr>
    </w:p>
    <w:p w14:paraId="797F2AD6" w14:textId="644B1001" w:rsidR="00A22475" w:rsidRPr="00F27FA2" w:rsidRDefault="00A74598" w:rsidP="00871322">
      <w:pPr>
        <w:spacing w:after="0" w:line="240" w:lineRule="auto"/>
        <w:rPr>
          <w:rFonts w:ascii="Times New Roman" w:hAnsi="Times New Roman" w:cs="Times New Roman"/>
          <w:noProof/>
          <w:sz w:val="24"/>
          <w:szCs w:val="24"/>
          <w:lang w:val="sq-AL"/>
        </w:rPr>
      </w:pPr>
      <w:r>
        <w:rPr>
          <w:rFonts w:ascii="Times New Roman" w:hAnsi="Times New Roman" w:cs="Times New Roman"/>
          <w:sz w:val="24"/>
          <w:szCs w:val="24"/>
        </w:rPr>
        <w:t xml:space="preserve">               </w:t>
      </w:r>
      <w:r w:rsidR="00A22475" w:rsidRPr="00F27FA2">
        <w:rPr>
          <w:rFonts w:ascii="Times New Roman" w:hAnsi="Times New Roman" w:cs="Times New Roman"/>
          <w:sz w:val="24"/>
          <w:szCs w:val="24"/>
        </w:rPr>
        <w:t xml:space="preserve"> </w:t>
      </w:r>
      <w:r w:rsidR="00A22475" w:rsidRPr="00F27FA2">
        <w:rPr>
          <w:rFonts w:ascii="Times New Roman" w:hAnsi="Times New Roman" w:cs="Times New Roman"/>
          <w:noProof/>
          <w:sz w:val="24"/>
          <w:szCs w:val="24"/>
          <w:lang w:val="sq-AL"/>
        </w:rPr>
        <w:t xml:space="preserve">Drejtori i DBF-së                                                               </w:t>
      </w:r>
      <w:r>
        <w:rPr>
          <w:rFonts w:ascii="Times New Roman" w:hAnsi="Times New Roman" w:cs="Times New Roman"/>
          <w:noProof/>
          <w:sz w:val="24"/>
          <w:szCs w:val="24"/>
          <w:lang w:val="sq-AL"/>
        </w:rPr>
        <w:t xml:space="preserve">                           </w:t>
      </w:r>
      <w:r w:rsidR="00A22475" w:rsidRPr="00F27FA2">
        <w:rPr>
          <w:rFonts w:ascii="Times New Roman" w:hAnsi="Times New Roman" w:cs="Times New Roman"/>
          <w:noProof/>
          <w:sz w:val="24"/>
          <w:szCs w:val="24"/>
          <w:lang w:val="sq-AL"/>
        </w:rPr>
        <w:t xml:space="preserve"> Kryetari i Komunës</w:t>
      </w:r>
    </w:p>
    <w:p w14:paraId="1E9B4E67" w14:textId="642466D6" w:rsidR="00A22475" w:rsidRPr="00F27FA2" w:rsidRDefault="00A22475" w:rsidP="00A22475">
      <w:pPr>
        <w:spacing w:after="0" w:line="240" w:lineRule="auto"/>
        <w:ind w:left="432"/>
        <w:rPr>
          <w:rFonts w:ascii="Times New Roman" w:hAnsi="Times New Roman" w:cs="Times New Roman"/>
          <w:noProof/>
          <w:sz w:val="24"/>
          <w:szCs w:val="24"/>
          <w:lang w:val="sq-AL"/>
        </w:rPr>
      </w:pPr>
      <w:r w:rsidRPr="00F27FA2">
        <w:rPr>
          <w:rFonts w:ascii="Times New Roman" w:hAnsi="Times New Roman" w:cs="Times New Roman"/>
          <w:noProof/>
          <w:sz w:val="24"/>
          <w:szCs w:val="24"/>
          <w:lang w:val="sq-AL"/>
        </w:rPr>
        <w:t xml:space="preserve">         Z. </w:t>
      </w:r>
      <w:r w:rsidR="00D93FBF" w:rsidRPr="00F27FA2">
        <w:rPr>
          <w:rFonts w:ascii="Times New Roman" w:hAnsi="Times New Roman" w:cs="Times New Roman"/>
          <w:noProof/>
          <w:sz w:val="24"/>
          <w:szCs w:val="24"/>
          <w:lang w:val="sq-AL"/>
        </w:rPr>
        <w:t>Behxhet Maliqi</w:t>
      </w:r>
      <w:r w:rsidRPr="00F27FA2">
        <w:rPr>
          <w:rFonts w:ascii="Times New Roman" w:hAnsi="Times New Roman" w:cs="Times New Roman"/>
          <w:noProof/>
          <w:sz w:val="24"/>
          <w:szCs w:val="24"/>
          <w:lang w:val="sq-AL"/>
        </w:rPr>
        <w:t xml:space="preserve">                                                                 </w:t>
      </w:r>
      <w:r w:rsidRPr="00F27FA2">
        <w:rPr>
          <w:rFonts w:ascii="Times New Roman" w:hAnsi="Times New Roman" w:cs="Times New Roman"/>
          <w:noProof/>
          <w:sz w:val="24"/>
          <w:szCs w:val="24"/>
          <w:lang w:val="sq-AL"/>
        </w:rPr>
        <w:tab/>
      </w:r>
      <w:r w:rsidRPr="00F27FA2">
        <w:rPr>
          <w:rFonts w:ascii="Times New Roman" w:hAnsi="Times New Roman" w:cs="Times New Roman"/>
          <w:noProof/>
          <w:sz w:val="24"/>
          <w:szCs w:val="24"/>
          <w:lang w:val="sq-AL"/>
        </w:rPr>
        <w:tab/>
        <w:t xml:space="preserve">            </w:t>
      </w:r>
      <w:r w:rsidR="00CE22DB">
        <w:rPr>
          <w:rFonts w:ascii="Times New Roman" w:hAnsi="Times New Roman" w:cs="Times New Roman"/>
          <w:noProof/>
          <w:sz w:val="24"/>
          <w:szCs w:val="24"/>
          <w:lang w:val="sq-AL"/>
        </w:rPr>
        <w:t xml:space="preserve"> </w:t>
      </w:r>
      <w:r w:rsidRPr="00F27FA2">
        <w:rPr>
          <w:rFonts w:ascii="Times New Roman" w:hAnsi="Times New Roman" w:cs="Times New Roman"/>
          <w:noProof/>
          <w:sz w:val="24"/>
          <w:szCs w:val="24"/>
          <w:lang w:val="sq-AL"/>
        </w:rPr>
        <w:t xml:space="preserve"> Z. </w:t>
      </w:r>
      <w:r w:rsidR="00D93FBF" w:rsidRPr="00F27FA2">
        <w:rPr>
          <w:rFonts w:ascii="Times New Roman" w:hAnsi="Times New Roman" w:cs="Times New Roman"/>
          <w:noProof/>
          <w:sz w:val="24"/>
          <w:szCs w:val="24"/>
          <w:lang w:val="sq-AL"/>
        </w:rPr>
        <w:t xml:space="preserve">Sami Lushtaku </w:t>
      </w:r>
    </w:p>
    <w:p w14:paraId="471B863B" w14:textId="1743A538" w:rsidR="003D7E4E" w:rsidRPr="00F27FA2" w:rsidRDefault="00A22475" w:rsidP="00A22475">
      <w:pPr>
        <w:spacing w:after="0" w:line="240" w:lineRule="auto"/>
        <w:ind w:left="432"/>
        <w:rPr>
          <w:rFonts w:ascii="Times New Roman" w:hAnsi="Times New Roman" w:cs="Times New Roman"/>
          <w:sz w:val="24"/>
          <w:szCs w:val="24"/>
        </w:rPr>
        <w:sectPr w:rsidR="003D7E4E" w:rsidRPr="00F27FA2" w:rsidSect="00E11D43">
          <w:pgSz w:w="12240" w:h="15840"/>
          <w:pgMar w:top="180" w:right="720" w:bottom="90" w:left="990" w:header="720" w:footer="720" w:gutter="0"/>
          <w:cols w:space="720"/>
          <w:docGrid w:linePitch="360"/>
        </w:sectPr>
      </w:pPr>
      <w:r w:rsidRPr="00F27FA2">
        <w:rPr>
          <w:rFonts w:ascii="Times New Roman" w:hAnsi="Times New Roman" w:cs="Times New Roman"/>
          <w:sz w:val="24"/>
          <w:szCs w:val="24"/>
        </w:rPr>
        <w:t xml:space="preserve">      </w:t>
      </w:r>
      <w:r w:rsidR="00871322" w:rsidRPr="00F27FA2">
        <w:rPr>
          <w:rFonts w:ascii="Times New Roman" w:hAnsi="Times New Roman" w:cs="Times New Roman"/>
          <w:sz w:val="24"/>
          <w:szCs w:val="24"/>
        </w:rPr>
        <w:t xml:space="preserve">   </w:t>
      </w:r>
      <w:r w:rsidRPr="00F27FA2">
        <w:rPr>
          <w:rFonts w:ascii="Times New Roman" w:hAnsi="Times New Roman" w:cs="Times New Roman"/>
          <w:sz w:val="24"/>
          <w:szCs w:val="24"/>
        </w:rPr>
        <w:t xml:space="preserve">_______________ </w:t>
      </w:r>
      <w:r w:rsidRPr="00F27FA2">
        <w:rPr>
          <w:rFonts w:ascii="Times New Roman" w:hAnsi="Times New Roman" w:cs="Times New Roman"/>
          <w:sz w:val="24"/>
          <w:szCs w:val="24"/>
        </w:rPr>
        <w:tab/>
      </w:r>
      <w:r w:rsidRPr="00F27FA2">
        <w:rPr>
          <w:rFonts w:ascii="Times New Roman" w:hAnsi="Times New Roman" w:cs="Times New Roman"/>
          <w:sz w:val="24"/>
          <w:szCs w:val="24"/>
        </w:rPr>
        <w:tab/>
      </w:r>
      <w:r w:rsidRPr="00F27FA2">
        <w:rPr>
          <w:rFonts w:ascii="Times New Roman" w:hAnsi="Times New Roman" w:cs="Times New Roman"/>
          <w:sz w:val="24"/>
          <w:szCs w:val="24"/>
        </w:rPr>
        <w:tab/>
      </w:r>
      <w:r w:rsidRPr="00F27FA2">
        <w:rPr>
          <w:rFonts w:ascii="Times New Roman" w:hAnsi="Times New Roman" w:cs="Times New Roman"/>
          <w:sz w:val="24"/>
          <w:szCs w:val="24"/>
        </w:rPr>
        <w:tab/>
      </w:r>
      <w:r w:rsidRPr="00F27FA2">
        <w:rPr>
          <w:rFonts w:ascii="Times New Roman" w:hAnsi="Times New Roman" w:cs="Times New Roman"/>
          <w:sz w:val="24"/>
          <w:szCs w:val="24"/>
        </w:rPr>
        <w:tab/>
      </w:r>
      <w:r w:rsidRPr="00F27FA2">
        <w:rPr>
          <w:rFonts w:ascii="Times New Roman" w:hAnsi="Times New Roman" w:cs="Times New Roman"/>
          <w:sz w:val="24"/>
          <w:szCs w:val="24"/>
        </w:rPr>
        <w:tab/>
        <w:t xml:space="preserve">                    </w:t>
      </w:r>
      <w:r w:rsidR="00D93FBF" w:rsidRPr="00F27FA2">
        <w:rPr>
          <w:rFonts w:ascii="Times New Roman" w:hAnsi="Times New Roman" w:cs="Times New Roman"/>
          <w:sz w:val="24"/>
          <w:szCs w:val="24"/>
        </w:rPr>
        <w:t xml:space="preserve">              </w:t>
      </w:r>
      <w:r w:rsidR="00871322" w:rsidRPr="00F27FA2">
        <w:rPr>
          <w:rFonts w:ascii="Times New Roman" w:hAnsi="Times New Roman" w:cs="Times New Roman"/>
          <w:sz w:val="24"/>
          <w:szCs w:val="24"/>
        </w:rPr>
        <w:t xml:space="preserve"> </w:t>
      </w:r>
      <w:r w:rsidR="00D93FBF" w:rsidRPr="00F27FA2">
        <w:rPr>
          <w:rFonts w:ascii="Times New Roman" w:hAnsi="Times New Roman" w:cs="Times New Roman"/>
          <w:sz w:val="24"/>
          <w:szCs w:val="24"/>
        </w:rPr>
        <w:t xml:space="preserve">       </w:t>
      </w:r>
      <w:r w:rsidR="00871322" w:rsidRPr="00F27FA2">
        <w:rPr>
          <w:rFonts w:ascii="Times New Roman" w:hAnsi="Times New Roman" w:cs="Times New Roman"/>
          <w:sz w:val="24"/>
          <w:szCs w:val="24"/>
        </w:rPr>
        <w:t xml:space="preserve">     </w:t>
      </w:r>
      <w:r w:rsidR="00CE22DB">
        <w:rPr>
          <w:rFonts w:ascii="Times New Roman" w:hAnsi="Times New Roman" w:cs="Times New Roman"/>
          <w:sz w:val="24"/>
          <w:szCs w:val="24"/>
        </w:rPr>
        <w:t xml:space="preserve">  </w:t>
      </w:r>
      <w:r w:rsidRPr="00F27FA2">
        <w:rPr>
          <w:rFonts w:ascii="Times New Roman" w:hAnsi="Times New Roman" w:cs="Times New Roman"/>
          <w:sz w:val="24"/>
          <w:szCs w:val="24"/>
        </w:rPr>
        <w:t>______</w:t>
      </w:r>
      <w:r w:rsidR="004112FB" w:rsidRPr="00F27FA2">
        <w:rPr>
          <w:rFonts w:ascii="Times New Roman" w:hAnsi="Times New Roman" w:cs="Times New Roman"/>
          <w:sz w:val="24"/>
          <w:szCs w:val="24"/>
        </w:rPr>
        <w:t>___</w:t>
      </w:r>
      <w:r w:rsidR="00CE22DB" w:rsidRPr="00F27FA2">
        <w:rPr>
          <w:rFonts w:ascii="Times New Roman" w:hAnsi="Times New Roman" w:cs="Times New Roman"/>
          <w:sz w:val="24"/>
          <w:szCs w:val="24"/>
        </w:rPr>
        <w:t>________</w:t>
      </w:r>
    </w:p>
    <w:p w14:paraId="05F963D9" w14:textId="77777777" w:rsidR="00C50516" w:rsidRPr="00F27FA2" w:rsidRDefault="00C50516" w:rsidP="00F25EBD">
      <w:pPr>
        <w:pStyle w:val="Heading3"/>
        <w:rPr>
          <w:rFonts w:ascii="Times New Roman" w:hAnsi="Times New Roman" w:cs="Times New Roman"/>
          <w:sz w:val="24"/>
          <w:szCs w:val="24"/>
          <w:lang w:val="sq-AL"/>
        </w:rPr>
        <w:sectPr w:rsidR="00C50516" w:rsidRPr="00F27FA2" w:rsidSect="0037701E">
          <w:pgSz w:w="15840" w:h="12240" w:orient="landscape"/>
          <w:pgMar w:top="994" w:right="994" w:bottom="1354" w:left="1166" w:header="720" w:footer="720" w:gutter="0"/>
          <w:cols w:space="720"/>
          <w:docGrid w:linePitch="360"/>
        </w:sectPr>
      </w:pPr>
    </w:p>
    <w:p w14:paraId="4B782A36" w14:textId="77777777" w:rsidR="00B3535A" w:rsidRPr="00F27FA2" w:rsidRDefault="00B3535A" w:rsidP="00E65B32">
      <w:pPr>
        <w:spacing w:line="240" w:lineRule="auto"/>
        <w:rPr>
          <w:rFonts w:ascii="Times New Roman" w:hAnsi="Times New Roman" w:cs="Times New Roman"/>
          <w:sz w:val="24"/>
          <w:szCs w:val="24"/>
          <w:lang w:val="sq-AL"/>
        </w:rPr>
      </w:pPr>
    </w:p>
    <w:sectPr w:rsidR="00B3535A" w:rsidRPr="00F27FA2" w:rsidSect="0037701E">
      <w:pgSz w:w="12240" w:h="15840"/>
      <w:pgMar w:top="990" w:right="1350" w:bottom="117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C4FC" w14:textId="77777777" w:rsidR="002F600B" w:rsidRDefault="002F600B" w:rsidP="00DD0602">
      <w:pPr>
        <w:spacing w:after="0" w:line="240" w:lineRule="auto"/>
      </w:pPr>
      <w:r>
        <w:separator/>
      </w:r>
    </w:p>
  </w:endnote>
  <w:endnote w:type="continuationSeparator" w:id="0">
    <w:p w14:paraId="7E563871" w14:textId="77777777" w:rsidR="002F600B" w:rsidRDefault="002F600B" w:rsidP="00DD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CC34" w14:textId="77777777" w:rsidR="00693210" w:rsidRDefault="00693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E62F" w14:textId="3012B6CD" w:rsidR="008D2328" w:rsidRPr="00BB119E" w:rsidRDefault="008D2328" w:rsidP="0044547A">
    <w:pPr>
      <w:pStyle w:val="Footer"/>
      <w:rPr>
        <w:b/>
        <w:noProof/>
        <w:sz w:val="18"/>
      </w:rPr>
    </w:pPr>
    <w:r w:rsidRPr="00BB119E">
      <w:rPr>
        <w:b/>
        <w:sz w:val="18"/>
      </w:rPr>
      <w:t xml:space="preserve">                                                                                                                   </w:t>
    </w:r>
    <w:r w:rsidRPr="00BB119E">
      <w:rPr>
        <w:b/>
        <w:sz w:val="18"/>
      </w:rPr>
      <w:fldChar w:fldCharType="begin"/>
    </w:r>
    <w:r w:rsidRPr="00BB119E">
      <w:rPr>
        <w:b/>
        <w:sz w:val="18"/>
      </w:rPr>
      <w:instrText xml:space="preserve"> PAGE   \* MERGEFORMAT </w:instrText>
    </w:r>
    <w:r w:rsidRPr="00BB119E">
      <w:rPr>
        <w:b/>
        <w:sz w:val="18"/>
      </w:rPr>
      <w:fldChar w:fldCharType="separate"/>
    </w:r>
    <w:r w:rsidR="001D29BF">
      <w:rPr>
        <w:b/>
        <w:noProof/>
        <w:sz w:val="18"/>
      </w:rPr>
      <w:t>1</w:t>
    </w:r>
    <w:r w:rsidRPr="00BB119E">
      <w:rPr>
        <w:b/>
        <w:noProof/>
        <w:sz w:val="18"/>
      </w:rPr>
      <w:fldChar w:fldCharType="end"/>
    </w:r>
  </w:p>
  <w:p w14:paraId="1B0E44AA" w14:textId="7892B9AC" w:rsidR="008D2328" w:rsidRDefault="008D2328" w:rsidP="0044547A">
    <w:pPr>
      <w:pStyle w:val="Footer"/>
      <w:rPr>
        <w:b/>
        <w:sz w:val="18"/>
      </w:rPr>
    </w:pPr>
    <w:r>
      <w:rPr>
        <w:b/>
        <w:sz w:val="18"/>
      </w:rPr>
      <w:t xml:space="preserve">                                                                                                          </w:t>
    </w:r>
  </w:p>
  <w:p w14:paraId="3DA155DE" w14:textId="77777777" w:rsidR="008D2328" w:rsidRDefault="008D2328" w:rsidP="0044547A">
    <w:pPr>
      <w:pStyle w:val="Footer"/>
      <w:rPr>
        <w:b/>
        <w:sz w:val="18"/>
      </w:rPr>
    </w:pPr>
  </w:p>
  <w:p w14:paraId="15E937BC" w14:textId="77777777" w:rsidR="008D2328" w:rsidRPr="00AF1D05" w:rsidRDefault="008D2328" w:rsidP="0044547A">
    <w:pPr>
      <w:pStyle w:val="Footer"/>
      <w:rPr>
        <w:b/>
        <w:sz w:val="18"/>
      </w:rPr>
    </w:pPr>
  </w:p>
  <w:p w14:paraId="0D6CE91B" w14:textId="222E724B" w:rsidR="008D2328" w:rsidRDefault="002010E0" w:rsidP="002010E0">
    <w:pPr>
      <w:pStyle w:val="Footer"/>
      <w:tabs>
        <w:tab w:val="clear" w:pos="4680"/>
        <w:tab w:val="clear" w:pos="9360"/>
        <w:tab w:val="left" w:pos="824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60E5" w14:textId="77777777" w:rsidR="00693210" w:rsidRDefault="00693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757B8" w14:textId="77777777" w:rsidR="002F600B" w:rsidRDefault="002F600B" w:rsidP="00DD0602">
      <w:pPr>
        <w:spacing w:after="0" w:line="240" w:lineRule="auto"/>
      </w:pPr>
      <w:r>
        <w:separator/>
      </w:r>
    </w:p>
  </w:footnote>
  <w:footnote w:type="continuationSeparator" w:id="0">
    <w:p w14:paraId="279AE50C" w14:textId="77777777" w:rsidR="002F600B" w:rsidRDefault="002F600B" w:rsidP="00DD0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16C4" w14:textId="77777777" w:rsidR="00693210" w:rsidRDefault="00693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4607" w14:textId="77777777" w:rsidR="00693210" w:rsidRDefault="00693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247C" w14:textId="77777777" w:rsidR="00693210" w:rsidRDefault="00693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4B8D"/>
    <w:multiLevelType w:val="hybridMultilevel"/>
    <w:tmpl w:val="5A862C42"/>
    <w:lvl w:ilvl="0" w:tplc="08BEDB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E590A"/>
    <w:multiLevelType w:val="hybridMultilevel"/>
    <w:tmpl w:val="2A2E6CFE"/>
    <w:lvl w:ilvl="0" w:tplc="AC9C5834">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A822DCF"/>
    <w:multiLevelType w:val="hybridMultilevel"/>
    <w:tmpl w:val="2320F4A2"/>
    <w:lvl w:ilvl="0" w:tplc="04090001">
      <w:start w:val="1"/>
      <w:numFmt w:val="bullet"/>
      <w:lvlText w:val=""/>
      <w:lvlJc w:val="left"/>
      <w:pPr>
        <w:ind w:left="3795" w:hanging="360"/>
      </w:pPr>
      <w:rPr>
        <w:rFonts w:ascii="Symbol" w:hAnsi="Symbol" w:hint="default"/>
      </w:rPr>
    </w:lvl>
    <w:lvl w:ilvl="1" w:tplc="04090003" w:tentative="1">
      <w:start w:val="1"/>
      <w:numFmt w:val="bullet"/>
      <w:lvlText w:val="o"/>
      <w:lvlJc w:val="left"/>
      <w:pPr>
        <w:ind w:left="4515" w:hanging="360"/>
      </w:pPr>
      <w:rPr>
        <w:rFonts w:ascii="Courier New" w:hAnsi="Courier New" w:cs="Courier New" w:hint="default"/>
      </w:rPr>
    </w:lvl>
    <w:lvl w:ilvl="2" w:tplc="04090005" w:tentative="1">
      <w:start w:val="1"/>
      <w:numFmt w:val="bullet"/>
      <w:lvlText w:val=""/>
      <w:lvlJc w:val="left"/>
      <w:pPr>
        <w:ind w:left="5235" w:hanging="360"/>
      </w:pPr>
      <w:rPr>
        <w:rFonts w:ascii="Wingdings" w:hAnsi="Wingdings" w:hint="default"/>
      </w:rPr>
    </w:lvl>
    <w:lvl w:ilvl="3" w:tplc="04090001" w:tentative="1">
      <w:start w:val="1"/>
      <w:numFmt w:val="bullet"/>
      <w:lvlText w:val=""/>
      <w:lvlJc w:val="left"/>
      <w:pPr>
        <w:ind w:left="5955" w:hanging="360"/>
      </w:pPr>
      <w:rPr>
        <w:rFonts w:ascii="Symbol" w:hAnsi="Symbol" w:hint="default"/>
      </w:rPr>
    </w:lvl>
    <w:lvl w:ilvl="4" w:tplc="04090003" w:tentative="1">
      <w:start w:val="1"/>
      <w:numFmt w:val="bullet"/>
      <w:lvlText w:val="o"/>
      <w:lvlJc w:val="left"/>
      <w:pPr>
        <w:ind w:left="6675" w:hanging="360"/>
      </w:pPr>
      <w:rPr>
        <w:rFonts w:ascii="Courier New" w:hAnsi="Courier New" w:cs="Courier New" w:hint="default"/>
      </w:rPr>
    </w:lvl>
    <w:lvl w:ilvl="5" w:tplc="04090005" w:tentative="1">
      <w:start w:val="1"/>
      <w:numFmt w:val="bullet"/>
      <w:lvlText w:val=""/>
      <w:lvlJc w:val="left"/>
      <w:pPr>
        <w:ind w:left="7395" w:hanging="360"/>
      </w:pPr>
      <w:rPr>
        <w:rFonts w:ascii="Wingdings" w:hAnsi="Wingdings" w:hint="default"/>
      </w:rPr>
    </w:lvl>
    <w:lvl w:ilvl="6" w:tplc="04090001" w:tentative="1">
      <w:start w:val="1"/>
      <w:numFmt w:val="bullet"/>
      <w:lvlText w:val=""/>
      <w:lvlJc w:val="left"/>
      <w:pPr>
        <w:ind w:left="8115" w:hanging="360"/>
      </w:pPr>
      <w:rPr>
        <w:rFonts w:ascii="Symbol" w:hAnsi="Symbol" w:hint="default"/>
      </w:rPr>
    </w:lvl>
    <w:lvl w:ilvl="7" w:tplc="04090003" w:tentative="1">
      <w:start w:val="1"/>
      <w:numFmt w:val="bullet"/>
      <w:lvlText w:val="o"/>
      <w:lvlJc w:val="left"/>
      <w:pPr>
        <w:ind w:left="8835" w:hanging="360"/>
      </w:pPr>
      <w:rPr>
        <w:rFonts w:ascii="Courier New" w:hAnsi="Courier New" w:cs="Courier New" w:hint="default"/>
      </w:rPr>
    </w:lvl>
    <w:lvl w:ilvl="8" w:tplc="04090005" w:tentative="1">
      <w:start w:val="1"/>
      <w:numFmt w:val="bullet"/>
      <w:lvlText w:val=""/>
      <w:lvlJc w:val="left"/>
      <w:pPr>
        <w:ind w:left="9555" w:hanging="360"/>
      </w:pPr>
      <w:rPr>
        <w:rFonts w:ascii="Wingdings" w:hAnsi="Wingdings" w:hint="default"/>
      </w:rPr>
    </w:lvl>
  </w:abstractNum>
  <w:abstractNum w:abstractNumId="3" w15:restartNumberingAfterBreak="0">
    <w:nsid w:val="1EE200F4"/>
    <w:multiLevelType w:val="hybridMultilevel"/>
    <w:tmpl w:val="E738E8C2"/>
    <w:lvl w:ilvl="0" w:tplc="F97C9A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3BD9"/>
    <w:multiLevelType w:val="hybridMultilevel"/>
    <w:tmpl w:val="9A788994"/>
    <w:lvl w:ilvl="0" w:tplc="48929070">
      <w:start w:val="1"/>
      <w:numFmt w:val="decimal"/>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116FA6"/>
    <w:multiLevelType w:val="multilevel"/>
    <w:tmpl w:val="F396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41292"/>
    <w:multiLevelType w:val="hybridMultilevel"/>
    <w:tmpl w:val="2EB068C0"/>
    <w:lvl w:ilvl="0" w:tplc="0409000F">
      <w:start w:val="1"/>
      <w:numFmt w:val="decimal"/>
      <w:lvlText w:val="%1."/>
      <w:lvlJc w:val="left"/>
      <w:pPr>
        <w:ind w:left="4155" w:hanging="360"/>
      </w:pPr>
    </w:lvl>
    <w:lvl w:ilvl="1" w:tplc="04090019" w:tentative="1">
      <w:start w:val="1"/>
      <w:numFmt w:val="lowerLetter"/>
      <w:lvlText w:val="%2."/>
      <w:lvlJc w:val="left"/>
      <w:pPr>
        <w:ind w:left="4875" w:hanging="360"/>
      </w:pPr>
    </w:lvl>
    <w:lvl w:ilvl="2" w:tplc="0409001B" w:tentative="1">
      <w:start w:val="1"/>
      <w:numFmt w:val="lowerRoman"/>
      <w:lvlText w:val="%3."/>
      <w:lvlJc w:val="right"/>
      <w:pPr>
        <w:ind w:left="5595" w:hanging="180"/>
      </w:pPr>
    </w:lvl>
    <w:lvl w:ilvl="3" w:tplc="0409000F" w:tentative="1">
      <w:start w:val="1"/>
      <w:numFmt w:val="decimal"/>
      <w:lvlText w:val="%4."/>
      <w:lvlJc w:val="left"/>
      <w:pPr>
        <w:ind w:left="6315" w:hanging="360"/>
      </w:pPr>
    </w:lvl>
    <w:lvl w:ilvl="4" w:tplc="04090019" w:tentative="1">
      <w:start w:val="1"/>
      <w:numFmt w:val="lowerLetter"/>
      <w:lvlText w:val="%5."/>
      <w:lvlJc w:val="left"/>
      <w:pPr>
        <w:ind w:left="7035" w:hanging="360"/>
      </w:pPr>
    </w:lvl>
    <w:lvl w:ilvl="5" w:tplc="0409001B" w:tentative="1">
      <w:start w:val="1"/>
      <w:numFmt w:val="lowerRoman"/>
      <w:lvlText w:val="%6."/>
      <w:lvlJc w:val="right"/>
      <w:pPr>
        <w:ind w:left="7755" w:hanging="180"/>
      </w:pPr>
    </w:lvl>
    <w:lvl w:ilvl="6" w:tplc="0409000F" w:tentative="1">
      <w:start w:val="1"/>
      <w:numFmt w:val="decimal"/>
      <w:lvlText w:val="%7."/>
      <w:lvlJc w:val="left"/>
      <w:pPr>
        <w:ind w:left="8475" w:hanging="360"/>
      </w:pPr>
    </w:lvl>
    <w:lvl w:ilvl="7" w:tplc="04090019" w:tentative="1">
      <w:start w:val="1"/>
      <w:numFmt w:val="lowerLetter"/>
      <w:lvlText w:val="%8."/>
      <w:lvlJc w:val="left"/>
      <w:pPr>
        <w:ind w:left="9195" w:hanging="360"/>
      </w:pPr>
    </w:lvl>
    <w:lvl w:ilvl="8" w:tplc="0409001B" w:tentative="1">
      <w:start w:val="1"/>
      <w:numFmt w:val="lowerRoman"/>
      <w:lvlText w:val="%9."/>
      <w:lvlJc w:val="right"/>
      <w:pPr>
        <w:ind w:left="9915" w:hanging="180"/>
      </w:pPr>
    </w:lvl>
  </w:abstractNum>
  <w:abstractNum w:abstractNumId="7" w15:restartNumberingAfterBreak="0">
    <w:nsid w:val="4861055B"/>
    <w:multiLevelType w:val="hybridMultilevel"/>
    <w:tmpl w:val="1E9A6D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2351499"/>
    <w:multiLevelType w:val="multilevel"/>
    <w:tmpl w:val="E0E4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FE4599"/>
    <w:multiLevelType w:val="hybridMultilevel"/>
    <w:tmpl w:val="4ED0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176B6"/>
    <w:multiLevelType w:val="hybridMultilevel"/>
    <w:tmpl w:val="47921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72ED9"/>
    <w:multiLevelType w:val="hybridMultilevel"/>
    <w:tmpl w:val="5FCED348"/>
    <w:lvl w:ilvl="0" w:tplc="6DF00224">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AC1E7D"/>
    <w:multiLevelType w:val="hybridMultilevel"/>
    <w:tmpl w:val="B2E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2B3E77"/>
    <w:multiLevelType w:val="hybridMultilevel"/>
    <w:tmpl w:val="2184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7"/>
  </w:num>
  <w:num w:numId="5">
    <w:abstractNumId w:val="1"/>
  </w:num>
  <w:num w:numId="6">
    <w:abstractNumId w:val="11"/>
  </w:num>
  <w:num w:numId="7">
    <w:abstractNumId w:val="4"/>
  </w:num>
  <w:num w:numId="8">
    <w:abstractNumId w:val="3"/>
  </w:num>
  <w:num w:numId="9">
    <w:abstractNumId w:val="0"/>
  </w:num>
  <w:num w:numId="10">
    <w:abstractNumId w:val="6"/>
  </w:num>
  <w:num w:numId="11">
    <w:abstractNumId w:val="12"/>
  </w:num>
  <w:num w:numId="12">
    <w:abstractNumId w:val="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432"/>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02"/>
    <w:rsid w:val="000024CE"/>
    <w:rsid w:val="00007E0C"/>
    <w:rsid w:val="00011FDB"/>
    <w:rsid w:val="00012170"/>
    <w:rsid w:val="00014EA1"/>
    <w:rsid w:val="00016D2A"/>
    <w:rsid w:val="00021088"/>
    <w:rsid w:val="0002124B"/>
    <w:rsid w:val="00021367"/>
    <w:rsid w:val="000219A0"/>
    <w:rsid w:val="00022AC7"/>
    <w:rsid w:val="00025EC1"/>
    <w:rsid w:val="00025FA2"/>
    <w:rsid w:val="00027D0B"/>
    <w:rsid w:val="00031802"/>
    <w:rsid w:val="00031CFE"/>
    <w:rsid w:val="000349BC"/>
    <w:rsid w:val="0003524F"/>
    <w:rsid w:val="00036925"/>
    <w:rsid w:val="0004337D"/>
    <w:rsid w:val="00043749"/>
    <w:rsid w:val="00044A15"/>
    <w:rsid w:val="00045D9D"/>
    <w:rsid w:val="00047EE2"/>
    <w:rsid w:val="000503A0"/>
    <w:rsid w:val="00053824"/>
    <w:rsid w:val="00055C99"/>
    <w:rsid w:val="00057F4F"/>
    <w:rsid w:val="000608E8"/>
    <w:rsid w:val="00070722"/>
    <w:rsid w:val="00071B12"/>
    <w:rsid w:val="00072581"/>
    <w:rsid w:val="00073486"/>
    <w:rsid w:val="000766D0"/>
    <w:rsid w:val="000803D0"/>
    <w:rsid w:val="000820EF"/>
    <w:rsid w:val="00086223"/>
    <w:rsid w:val="00091D6D"/>
    <w:rsid w:val="000928FA"/>
    <w:rsid w:val="00092FE7"/>
    <w:rsid w:val="000944D0"/>
    <w:rsid w:val="00094D74"/>
    <w:rsid w:val="00096C6C"/>
    <w:rsid w:val="00097250"/>
    <w:rsid w:val="000978F7"/>
    <w:rsid w:val="000A0245"/>
    <w:rsid w:val="000A1087"/>
    <w:rsid w:val="000A4B2B"/>
    <w:rsid w:val="000A5AA7"/>
    <w:rsid w:val="000A5B34"/>
    <w:rsid w:val="000B0239"/>
    <w:rsid w:val="000C543A"/>
    <w:rsid w:val="000D25EA"/>
    <w:rsid w:val="000D28D8"/>
    <w:rsid w:val="000D5821"/>
    <w:rsid w:val="000D59EC"/>
    <w:rsid w:val="000D6C90"/>
    <w:rsid w:val="000E6081"/>
    <w:rsid w:val="000E7027"/>
    <w:rsid w:val="000F2FF3"/>
    <w:rsid w:val="000F7185"/>
    <w:rsid w:val="000F7C70"/>
    <w:rsid w:val="001003E3"/>
    <w:rsid w:val="0010048C"/>
    <w:rsid w:val="00104094"/>
    <w:rsid w:val="00105125"/>
    <w:rsid w:val="0011242F"/>
    <w:rsid w:val="00112690"/>
    <w:rsid w:val="00112EC2"/>
    <w:rsid w:val="00113B73"/>
    <w:rsid w:val="00113FC1"/>
    <w:rsid w:val="001162B1"/>
    <w:rsid w:val="001177D2"/>
    <w:rsid w:val="00122CE6"/>
    <w:rsid w:val="0012306D"/>
    <w:rsid w:val="00123CAA"/>
    <w:rsid w:val="001253BF"/>
    <w:rsid w:val="00127DD3"/>
    <w:rsid w:val="001311EE"/>
    <w:rsid w:val="001337F6"/>
    <w:rsid w:val="00134EFA"/>
    <w:rsid w:val="001375CB"/>
    <w:rsid w:val="00140771"/>
    <w:rsid w:val="00140DA9"/>
    <w:rsid w:val="00140FAA"/>
    <w:rsid w:val="001421A2"/>
    <w:rsid w:val="001438AC"/>
    <w:rsid w:val="001439B9"/>
    <w:rsid w:val="00144901"/>
    <w:rsid w:val="00145F9F"/>
    <w:rsid w:val="001500D9"/>
    <w:rsid w:val="0015069B"/>
    <w:rsid w:val="00151B90"/>
    <w:rsid w:val="00155DF0"/>
    <w:rsid w:val="00156B6C"/>
    <w:rsid w:val="00164158"/>
    <w:rsid w:val="00164210"/>
    <w:rsid w:val="00165834"/>
    <w:rsid w:val="00165A75"/>
    <w:rsid w:val="00165FBD"/>
    <w:rsid w:val="001679D3"/>
    <w:rsid w:val="00170177"/>
    <w:rsid w:val="00175966"/>
    <w:rsid w:val="001769FD"/>
    <w:rsid w:val="00180783"/>
    <w:rsid w:val="00181E6C"/>
    <w:rsid w:val="00186E8F"/>
    <w:rsid w:val="00187BD8"/>
    <w:rsid w:val="00190803"/>
    <w:rsid w:val="00194501"/>
    <w:rsid w:val="00194B78"/>
    <w:rsid w:val="001960C4"/>
    <w:rsid w:val="001978DD"/>
    <w:rsid w:val="001A029F"/>
    <w:rsid w:val="001A0DD1"/>
    <w:rsid w:val="001A6892"/>
    <w:rsid w:val="001A78E1"/>
    <w:rsid w:val="001A7E43"/>
    <w:rsid w:val="001B0E44"/>
    <w:rsid w:val="001B6CD9"/>
    <w:rsid w:val="001B7157"/>
    <w:rsid w:val="001C0C2D"/>
    <w:rsid w:val="001C1019"/>
    <w:rsid w:val="001C111D"/>
    <w:rsid w:val="001C2D59"/>
    <w:rsid w:val="001C4343"/>
    <w:rsid w:val="001C5C97"/>
    <w:rsid w:val="001C74D6"/>
    <w:rsid w:val="001D29BF"/>
    <w:rsid w:val="001D4497"/>
    <w:rsid w:val="001D6B63"/>
    <w:rsid w:val="001D7C9C"/>
    <w:rsid w:val="001E05A3"/>
    <w:rsid w:val="001E0F80"/>
    <w:rsid w:val="001E364F"/>
    <w:rsid w:val="001E5F25"/>
    <w:rsid w:val="001F00D5"/>
    <w:rsid w:val="001F0B8E"/>
    <w:rsid w:val="001F263E"/>
    <w:rsid w:val="001F34A7"/>
    <w:rsid w:val="001F3BED"/>
    <w:rsid w:val="001F57ED"/>
    <w:rsid w:val="001F67D3"/>
    <w:rsid w:val="002010E0"/>
    <w:rsid w:val="0020339C"/>
    <w:rsid w:val="00205709"/>
    <w:rsid w:val="0021072A"/>
    <w:rsid w:val="00211A69"/>
    <w:rsid w:val="00214C43"/>
    <w:rsid w:val="0021502C"/>
    <w:rsid w:val="002153CE"/>
    <w:rsid w:val="002153E7"/>
    <w:rsid w:val="0021549E"/>
    <w:rsid w:val="00216E71"/>
    <w:rsid w:val="00221FDB"/>
    <w:rsid w:val="00222669"/>
    <w:rsid w:val="0022501F"/>
    <w:rsid w:val="002251C1"/>
    <w:rsid w:val="002274D9"/>
    <w:rsid w:val="002301EB"/>
    <w:rsid w:val="002318BB"/>
    <w:rsid w:val="002320B9"/>
    <w:rsid w:val="0023285B"/>
    <w:rsid w:val="00232D73"/>
    <w:rsid w:val="00233083"/>
    <w:rsid w:val="002333B3"/>
    <w:rsid w:val="00233538"/>
    <w:rsid w:val="002345EB"/>
    <w:rsid w:val="002371FE"/>
    <w:rsid w:val="00237998"/>
    <w:rsid w:val="00240134"/>
    <w:rsid w:val="00240B48"/>
    <w:rsid w:val="0024146E"/>
    <w:rsid w:val="00241DD7"/>
    <w:rsid w:val="00242618"/>
    <w:rsid w:val="002454A5"/>
    <w:rsid w:val="00246577"/>
    <w:rsid w:val="00253B78"/>
    <w:rsid w:val="002540C6"/>
    <w:rsid w:val="00254BF6"/>
    <w:rsid w:val="00255177"/>
    <w:rsid w:val="00256850"/>
    <w:rsid w:val="002568B0"/>
    <w:rsid w:val="00261862"/>
    <w:rsid w:val="00261C46"/>
    <w:rsid w:val="002649BF"/>
    <w:rsid w:val="00266BAE"/>
    <w:rsid w:val="0027034F"/>
    <w:rsid w:val="00270CC8"/>
    <w:rsid w:val="00271C9B"/>
    <w:rsid w:val="00280E7E"/>
    <w:rsid w:val="00282464"/>
    <w:rsid w:val="002853C1"/>
    <w:rsid w:val="00285E3E"/>
    <w:rsid w:val="00290126"/>
    <w:rsid w:val="002902A8"/>
    <w:rsid w:val="00296655"/>
    <w:rsid w:val="00296F28"/>
    <w:rsid w:val="0029703B"/>
    <w:rsid w:val="00297587"/>
    <w:rsid w:val="002A007B"/>
    <w:rsid w:val="002A6DC2"/>
    <w:rsid w:val="002A702B"/>
    <w:rsid w:val="002A7D29"/>
    <w:rsid w:val="002B1754"/>
    <w:rsid w:val="002B2191"/>
    <w:rsid w:val="002B2829"/>
    <w:rsid w:val="002B565C"/>
    <w:rsid w:val="002B5EE6"/>
    <w:rsid w:val="002C16D4"/>
    <w:rsid w:val="002C2ECA"/>
    <w:rsid w:val="002C4787"/>
    <w:rsid w:val="002C5496"/>
    <w:rsid w:val="002C5630"/>
    <w:rsid w:val="002C701A"/>
    <w:rsid w:val="002D5810"/>
    <w:rsid w:val="002D6B10"/>
    <w:rsid w:val="002E081A"/>
    <w:rsid w:val="002E2B1D"/>
    <w:rsid w:val="002E3347"/>
    <w:rsid w:val="002E423C"/>
    <w:rsid w:val="002E657B"/>
    <w:rsid w:val="002E6848"/>
    <w:rsid w:val="002E7244"/>
    <w:rsid w:val="002E7F1F"/>
    <w:rsid w:val="002F034C"/>
    <w:rsid w:val="002F0E13"/>
    <w:rsid w:val="002F2C86"/>
    <w:rsid w:val="002F3926"/>
    <w:rsid w:val="002F5789"/>
    <w:rsid w:val="002F600B"/>
    <w:rsid w:val="002F6086"/>
    <w:rsid w:val="002F6D8C"/>
    <w:rsid w:val="0030000B"/>
    <w:rsid w:val="003006F3"/>
    <w:rsid w:val="00301FD7"/>
    <w:rsid w:val="00303CAD"/>
    <w:rsid w:val="003065B1"/>
    <w:rsid w:val="003113E5"/>
    <w:rsid w:val="00312680"/>
    <w:rsid w:val="00313889"/>
    <w:rsid w:val="00315180"/>
    <w:rsid w:val="0031573D"/>
    <w:rsid w:val="00321046"/>
    <w:rsid w:val="003219B6"/>
    <w:rsid w:val="003234FE"/>
    <w:rsid w:val="00323EE6"/>
    <w:rsid w:val="00325461"/>
    <w:rsid w:val="00326DFC"/>
    <w:rsid w:val="00331635"/>
    <w:rsid w:val="00332B50"/>
    <w:rsid w:val="00334D27"/>
    <w:rsid w:val="00335B33"/>
    <w:rsid w:val="00337195"/>
    <w:rsid w:val="00337632"/>
    <w:rsid w:val="003401DB"/>
    <w:rsid w:val="003407F9"/>
    <w:rsid w:val="0034270C"/>
    <w:rsid w:val="003443C0"/>
    <w:rsid w:val="00344B44"/>
    <w:rsid w:val="0035040C"/>
    <w:rsid w:val="00353D2B"/>
    <w:rsid w:val="00354F80"/>
    <w:rsid w:val="00361733"/>
    <w:rsid w:val="003624FB"/>
    <w:rsid w:val="00364BA1"/>
    <w:rsid w:val="00367F1B"/>
    <w:rsid w:val="00371E66"/>
    <w:rsid w:val="003724AC"/>
    <w:rsid w:val="00373068"/>
    <w:rsid w:val="0037393C"/>
    <w:rsid w:val="003741BC"/>
    <w:rsid w:val="00374465"/>
    <w:rsid w:val="00375E43"/>
    <w:rsid w:val="00376AA2"/>
    <w:rsid w:val="00376EEF"/>
    <w:rsid w:val="0037701E"/>
    <w:rsid w:val="00382AB8"/>
    <w:rsid w:val="00383B1D"/>
    <w:rsid w:val="00387B65"/>
    <w:rsid w:val="00393C68"/>
    <w:rsid w:val="0039725B"/>
    <w:rsid w:val="003A2E48"/>
    <w:rsid w:val="003A3489"/>
    <w:rsid w:val="003A47D6"/>
    <w:rsid w:val="003A5977"/>
    <w:rsid w:val="003B09A2"/>
    <w:rsid w:val="003B2895"/>
    <w:rsid w:val="003B370C"/>
    <w:rsid w:val="003B4BB4"/>
    <w:rsid w:val="003B6675"/>
    <w:rsid w:val="003B75D1"/>
    <w:rsid w:val="003B7F84"/>
    <w:rsid w:val="003C0EA0"/>
    <w:rsid w:val="003C0F84"/>
    <w:rsid w:val="003C568B"/>
    <w:rsid w:val="003C695C"/>
    <w:rsid w:val="003C6B99"/>
    <w:rsid w:val="003D0B41"/>
    <w:rsid w:val="003D16D1"/>
    <w:rsid w:val="003D17AC"/>
    <w:rsid w:val="003D1866"/>
    <w:rsid w:val="003D46EE"/>
    <w:rsid w:val="003D5869"/>
    <w:rsid w:val="003D7E4E"/>
    <w:rsid w:val="003D7E79"/>
    <w:rsid w:val="003E022A"/>
    <w:rsid w:val="003E0C42"/>
    <w:rsid w:val="003E2C1F"/>
    <w:rsid w:val="003E354C"/>
    <w:rsid w:val="003E3F88"/>
    <w:rsid w:val="003E48B6"/>
    <w:rsid w:val="003E56C5"/>
    <w:rsid w:val="003E619A"/>
    <w:rsid w:val="003E647A"/>
    <w:rsid w:val="003F1DE5"/>
    <w:rsid w:val="003F20EE"/>
    <w:rsid w:val="003F42EC"/>
    <w:rsid w:val="003F7F11"/>
    <w:rsid w:val="00401EA3"/>
    <w:rsid w:val="004035A2"/>
    <w:rsid w:val="004045F0"/>
    <w:rsid w:val="00405066"/>
    <w:rsid w:val="00405836"/>
    <w:rsid w:val="00410DBE"/>
    <w:rsid w:val="004111C1"/>
    <w:rsid w:val="004112FB"/>
    <w:rsid w:val="0041473E"/>
    <w:rsid w:val="00415CA1"/>
    <w:rsid w:val="00416F6B"/>
    <w:rsid w:val="0042014E"/>
    <w:rsid w:val="00420876"/>
    <w:rsid w:val="00422B35"/>
    <w:rsid w:val="0042485C"/>
    <w:rsid w:val="0042612A"/>
    <w:rsid w:val="004355C9"/>
    <w:rsid w:val="00443FB9"/>
    <w:rsid w:val="004451FB"/>
    <w:rsid w:val="0044547A"/>
    <w:rsid w:val="00445F4E"/>
    <w:rsid w:val="0044643D"/>
    <w:rsid w:val="00446A9E"/>
    <w:rsid w:val="00450452"/>
    <w:rsid w:val="00452946"/>
    <w:rsid w:val="00452A9B"/>
    <w:rsid w:val="00453FEC"/>
    <w:rsid w:val="0045793A"/>
    <w:rsid w:val="0046043C"/>
    <w:rsid w:val="0046050C"/>
    <w:rsid w:val="00460BDD"/>
    <w:rsid w:val="00461740"/>
    <w:rsid w:val="004635D5"/>
    <w:rsid w:val="00464C61"/>
    <w:rsid w:val="00467767"/>
    <w:rsid w:val="00472667"/>
    <w:rsid w:val="00475466"/>
    <w:rsid w:val="004765D6"/>
    <w:rsid w:val="00476623"/>
    <w:rsid w:val="00477099"/>
    <w:rsid w:val="00482621"/>
    <w:rsid w:val="00483CA4"/>
    <w:rsid w:val="00491EBA"/>
    <w:rsid w:val="00493B18"/>
    <w:rsid w:val="0049451C"/>
    <w:rsid w:val="004A0486"/>
    <w:rsid w:val="004A41CF"/>
    <w:rsid w:val="004A4790"/>
    <w:rsid w:val="004A4DBD"/>
    <w:rsid w:val="004A5CA5"/>
    <w:rsid w:val="004A60D2"/>
    <w:rsid w:val="004A729C"/>
    <w:rsid w:val="004B2971"/>
    <w:rsid w:val="004B57BD"/>
    <w:rsid w:val="004C3C3C"/>
    <w:rsid w:val="004C61A9"/>
    <w:rsid w:val="004D20B3"/>
    <w:rsid w:val="004D4F21"/>
    <w:rsid w:val="004E28A0"/>
    <w:rsid w:val="004E3706"/>
    <w:rsid w:val="004E37AF"/>
    <w:rsid w:val="004E414A"/>
    <w:rsid w:val="004E6F37"/>
    <w:rsid w:val="004E6F60"/>
    <w:rsid w:val="004E79F1"/>
    <w:rsid w:val="004F0CEC"/>
    <w:rsid w:val="004F42F9"/>
    <w:rsid w:val="004F4A3C"/>
    <w:rsid w:val="004F4BD5"/>
    <w:rsid w:val="004F7F2D"/>
    <w:rsid w:val="005007E9"/>
    <w:rsid w:val="0050108E"/>
    <w:rsid w:val="005073FC"/>
    <w:rsid w:val="00507D85"/>
    <w:rsid w:val="005124E5"/>
    <w:rsid w:val="00512ED2"/>
    <w:rsid w:val="00525B34"/>
    <w:rsid w:val="00525BCE"/>
    <w:rsid w:val="00533DD6"/>
    <w:rsid w:val="00534D20"/>
    <w:rsid w:val="00537039"/>
    <w:rsid w:val="005407E1"/>
    <w:rsid w:val="00542B41"/>
    <w:rsid w:val="00542E84"/>
    <w:rsid w:val="00545534"/>
    <w:rsid w:val="00551E2A"/>
    <w:rsid w:val="0055233B"/>
    <w:rsid w:val="0055415F"/>
    <w:rsid w:val="005547B7"/>
    <w:rsid w:val="0055527F"/>
    <w:rsid w:val="00555B2A"/>
    <w:rsid w:val="0055641C"/>
    <w:rsid w:val="00561105"/>
    <w:rsid w:val="00561AC7"/>
    <w:rsid w:val="00563A62"/>
    <w:rsid w:val="00565228"/>
    <w:rsid w:val="00571FE6"/>
    <w:rsid w:val="00572CB8"/>
    <w:rsid w:val="0057373D"/>
    <w:rsid w:val="005747BA"/>
    <w:rsid w:val="00576FEF"/>
    <w:rsid w:val="005811CD"/>
    <w:rsid w:val="0058422C"/>
    <w:rsid w:val="00585A0A"/>
    <w:rsid w:val="00586A58"/>
    <w:rsid w:val="00590EAB"/>
    <w:rsid w:val="00590FB2"/>
    <w:rsid w:val="00596C24"/>
    <w:rsid w:val="00597E49"/>
    <w:rsid w:val="005A450E"/>
    <w:rsid w:val="005A72C5"/>
    <w:rsid w:val="005A7AE6"/>
    <w:rsid w:val="005B06A8"/>
    <w:rsid w:val="005B2824"/>
    <w:rsid w:val="005B3581"/>
    <w:rsid w:val="005B470F"/>
    <w:rsid w:val="005B5919"/>
    <w:rsid w:val="005C23B1"/>
    <w:rsid w:val="005C653E"/>
    <w:rsid w:val="005D351C"/>
    <w:rsid w:val="005D50B5"/>
    <w:rsid w:val="005E0AB6"/>
    <w:rsid w:val="005E36C8"/>
    <w:rsid w:val="005E3FBD"/>
    <w:rsid w:val="005E668C"/>
    <w:rsid w:val="005E7487"/>
    <w:rsid w:val="005F03C5"/>
    <w:rsid w:val="005F1132"/>
    <w:rsid w:val="005F1682"/>
    <w:rsid w:val="0060028A"/>
    <w:rsid w:val="00601A7E"/>
    <w:rsid w:val="00603A7D"/>
    <w:rsid w:val="006060A2"/>
    <w:rsid w:val="006069CC"/>
    <w:rsid w:val="00611739"/>
    <w:rsid w:val="00614D33"/>
    <w:rsid w:val="006166EB"/>
    <w:rsid w:val="00620178"/>
    <w:rsid w:val="00623DBA"/>
    <w:rsid w:val="00624C77"/>
    <w:rsid w:val="006266C9"/>
    <w:rsid w:val="00631488"/>
    <w:rsid w:val="00632CCA"/>
    <w:rsid w:val="00634C50"/>
    <w:rsid w:val="006355BE"/>
    <w:rsid w:val="00637C15"/>
    <w:rsid w:val="00640438"/>
    <w:rsid w:val="006420E1"/>
    <w:rsid w:val="0064625F"/>
    <w:rsid w:val="00647DDD"/>
    <w:rsid w:val="0065272B"/>
    <w:rsid w:val="0065338B"/>
    <w:rsid w:val="0065489F"/>
    <w:rsid w:val="006560DA"/>
    <w:rsid w:val="00656597"/>
    <w:rsid w:val="00656EAD"/>
    <w:rsid w:val="0065727D"/>
    <w:rsid w:val="00663281"/>
    <w:rsid w:val="00664C00"/>
    <w:rsid w:val="00664EBB"/>
    <w:rsid w:val="0067138E"/>
    <w:rsid w:val="0067190C"/>
    <w:rsid w:val="006738DF"/>
    <w:rsid w:val="006756A7"/>
    <w:rsid w:val="006774A6"/>
    <w:rsid w:val="00680C87"/>
    <w:rsid w:val="00682D93"/>
    <w:rsid w:val="0068407A"/>
    <w:rsid w:val="00684325"/>
    <w:rsid w:val="006848E9"/>
    <w:rsid w:val="00693210"/>
    <w:rsid w:val="006934AC"/>
    <w:rsid w:val="00693825"/>
    <w:rsid w:val="00693DE3"/>
    <w:rsid w:val="006973CC"/>
    <w:rsid w:val="006A04E0"/>
    <w:rsid w:val="006A05AB"/>
    <w:rsid w:val="006B2BB4"/>
    <w:rsid w:val="006B51C5"/>
    <w:rsid w:val="006C07AB"/>
    <w:rsid w:val="006C0E01"/>
    <w:rsid w:val="006C18CA"/>
    <w:rsid w:val="006C2600"/>
    <w:rsid w:val="006C7430"/>
    <w:rsid w:val="006C75C0"/>
    <w:rsid w:val="006C7971"/>
    <w:rsid w:val="006D56E4"/>
    <w:rsid w:val="006D5A04"/>
    <w:rsid w:val="006E034F"/>
    <w:rsid w:val="006E1239"/>
    <w:rsid w:val="006E2003"/>
    <w:rsid w:val="006E75B0"/>
    <w:rsid w:val="006E7668"/>
    <w:rsid w:val="006F2BD7"/>
    <w:rsid w:val="006F433F"/>
    <w:rsid w:val="006F56C4"/>
    <w:rsid w:val="00700564"/>
    <w:rsid w:val="00702560"/>
    <w:rsid w:val="007030E0"/>
    <w:rsid w:val="00703765"/>
    <w:rsid w:val="00705CBF"/>
    <w:rsid w:val="00707BED"/>
    <w:rsid w:val="0071184E"/>
    <w:rsid w:val="0071313B"/>
    <w:rsid w:val="00713D87"/>
    <w:rsid w:val="00715138"/>
    <w:rsid w:val="00720204"/>
    <w:rsid w:val="00721DCD"/>
    <w:rsid w:val="0072244E"/>
    <w:rsid w:val="0072302C"/>
    <w:rsid w:val="00723334"/>
    <w:rsid w:val="00725398"/>
    <w:rsid w:val="00725CA6"/>
    <w:rsid w:val="007317BD"/>
    <w:rsid w:val="007332EB"/>
    <w:rsid w:val="00741952"/>
    <w:rsid w:val="00742419"/>
    <w:rsid w:val="007426BB"/>
    <w:rsid w:val="00747CEF"/>
    <w:rsid w:val="007519EA"/>
    <w:rsid w:val="007559BE"/>
    <w:rsid w:val="007563DD"/>
    <w:rsid w:val="00757FDB"/>
    <w:rsid w:val="0076373F"/>
    <w:rsid w:val="00771683"/>
    <w:rsid w:val="00772500"/>
    <w:rsid w:val="00773352"/>
    <w:rsid w:val="007755B8"/>
    <w:rsid w:val="00775908"/>
    <w:rsid w:val="007838A7"/>
    <w:rsid w:val="00783BA3"/>
    <w:rsid w:val="00787FC6"/>
    <w:rsid w:val="007902D6"/>
    <w:rsid w:val="00790C00"/>
    <w:rsid w:val="00790CD4"/>
    <w:rsid w:val="00792EE0"/>
    <w:rsid w:val="00794993"/>
    <w:rsid w:val="007958EA"/>
    <w:rsid w:val="007A4B43"/>
    <w:rsid w:val="007A53B3"/>
    <w:rsid w:val="007A6948"/>
    <w:rsid w:val="007B24C8"/>
    <w:rsid w:val="007B59F0"/>
    <w:rsid w:val="007B6C23"/>
    <w:rsid w:val="007B7759"/>
    <w:rsid w:val="007C0B3E"/>
    <w:rsid w:val="007C2DF0"/>
    <w:rsid w:val="007C4249"/>
    <w:rsid w:val="007C752C"/>
    <w:rsid w:val="007C7994"/>
    <w:rsid w:val="007D01A8"/>
    <w:rsid w:val="007D0D8C"/>
    <w:rsid w:val="007D2AF5"/>
    <w:rsid w:val="007D4758"/>
    <w:rsid w:val="007D78EB"/>
    <w:rsid w:val="007E3DDD"/>
    <w:rsid w:val="007E4385"/>
    <w:rsid w:val="007E4467"/>
    <w:rsid w:val="007E5C66"/>
    <w:rsid w:val="007F179B"/>
    <w:rsid w:val="007F1D0F"/>
    <w:rsid w:val="007F1E3A"/>
    <w:rsid w:val="007F5605"/>
    <w:rsid w:val="007F63FC"/>
    <w:rsid w:val="00800A2D"/>
    <w:rsid w:val="00802F96"/>
    <w:rsid w:val="008100D2"/>
    <w:rsid w:val="00811C09"/>
    <w:rsid w:val="00813BD7"/>
    <w:rsid w:val="00813D2B"/>
    <w:rsid w:val="00813D53"/>
    <w:rsid w:val="00815682"/>
    <w:rsid w:val="008165E6"/>
    <w:rsid w:val="00816AED"/>
    <w:rsid w:val="00823321"/>
    <w:rsid w:val="00825F2C"/>
    <w:rsid w:val="00826A65"/>
    <w:rsid w:val="00827B56"/>
    <w:rsid w:val="00830829"/>
    <w:rsid w:val="00830CD4"/>
    <w:rsid w:val="008332A8"/>
    <w:rsid w:val="008333C9"/>
    <w:rsid w:val="00844582"/>
    <w:rsid w:val="00847BD4"/>
    <w:rsid w:val="008518E2"/>
    <w:rsid w:val="00861714"/>
    <w:rsid w:val="00861CAB"/>
    <w:rsid w:val="00862573"/>
    <w:rsid w:val="008625E4"/>
    <w:rsid w:val="00862D08"/>
    <w:rsid w:val="00865751"/>
    <w:rsid w:val="00870386"/>
    <w:rsid w:val="00870DC6"/>
    <w:rsid w:val="00871322"/>
    <w:rsid w:val="00880941"/>
    <w:rsid w:val="008820D9"/>
    <w:rsid w:val="0088230F"/>
    <w:rsid w:val="00882348"/>
    <w:rsid w:val="0088582A"/>
    <w:rsid w:val="00885EAE"/>
    <w:rsid w:val="00887832"/>
    <w:rsid w:val="008A2325"/>
    <w:rsid w:val="008A567F"/>
    <w:rsid w:val="008A5719"/>
    <w:rsid w:val="008B3301"/>
    <w:rsid w:val="008B581E"/>
    <w:rsid w:val="008C03A5"/>
    <w:rsid w:val="008C0438"/>
    <w:rsid w:val="008C13E3"/>
    <w:rsid w:val="008C1856"/>
    <w:rsid w:val="008D1481"/>
    <w:rsid w:val="008D20AA"/>
    <w:rsid w:val="008D2328"/>
    <w:rsid w:val="008D3B29"/>
    <w:rsid w:val="008D4DB0"/>
    <w:rsid w:val="008D5C06"/>
    <w:rsid w:val="008E0F1F"/>
    <w:rsid w:val="008E15F8"/>
    <w:rsid w:val="008E43E8"/>
    <w:rsid w:val="008E65FC"/>
    <w:rsid w:val="008E741D"/>
    <w:rsid w:val="008F24F8"/>
    <w:rsid w:val="008F480B"/>
    <w:rsid w:val="00904CF9"/>
    <w:rsid w:val="0090671D"/>
    <w:rsid w:val="0091187A"/>
    <w:rsid w:val="009138F2"/>
    <w:rsid w:val="00915C3F"/>
    <w:rsid w:val="00916286"/>
    <w:rsid w:val="009167BA"/>
    <w:rsid w:val="00916FA1"/>
    <w:rsid w:val="00916FC6"/>
    <w:rsid w:val="00917F69"/>
    <w:rsid w:val="00920432"/>
    <w:rsid w:val="00920E05"/>
    <w:rsid w:val="0092154B"/>
    <w:rsid w:val="0092257C"/>
    <w:rsid w:val="00925765"/>
    <w:rsid w:val="009345FA"/>
    <w:rsid w:val="00937317"/>
    <w:rsid w:val="009409B7"/>
    <w:rsid w:val="00940D51"/>
    <w:rsid w:val="00945802"/>
    <w:rsid w:val="0094613A"/>
    <w:rsid w:val="00953989"/>
    <w:rsid w:val="00954C78"/>
    <w:rsid w:val="00960BF2"/>
    <w:rsid w:val="0096252F"/>
    <w:rsid w:val="009626EE"/>
    <w:rsid w:val="009633AD"/>
    <w:rsid w:val="00972EA9"/>
    <w:rsid w:val="0097779A"/>
    <w:rsid w:val="009778DC"/>
    <w:rsid w:val="00981EC7"/>
    <w:rsid w:val="009823EE"/>
    <w:rsid w:val="0098291F"/>
    <w:rsid w:val="0098524D"/>
    <w:rsid w:val="0099259E"/>
    <w:rsid w:val="00997079"/>
    <w:rsid w:val="009976F2"/>
    <w:rsid w:val="009A33ED"/>
    <w:rsid w:val="009A4689"/>
    <w:rsid w:val="009A4C6D"/>
    <w:rsid w:val="009A6BF0"/>
    <w:rsid w:val="009A7139"/>
    <w:rsid w:val="009B296D"/>
    <w:rsid w:val="009B2C0F"/>
    <w:rsid w:val="009B4D06"/>
    <w:rsid w:val="009B7A80"/>
    <w:rsid w:val="009D3102"/>
    <w:rsid w:val="009D3AD1"/>
    <w:rsid w:val="009D3E11"/>
    <w:rsid w:val="009E15BA"/>
    <w:rsid w:val="009E16D7"/>
    <w:rsid w:val="009F02CC"/>
    <w:rsid w:val="009F2391"/>
    <w:rsid w:val="009F34E9"/>
    <w:rsid w:val="009F4980"/>
    <w:rsid w:val="009F7D13"/>
    <w:rsid w:val="00A016E4"/>
    <w:rsid w:val="00A023E3"/>
    <w:rsid w:val="00A0553F"/>
    <w:rsid w:val="00A06DBF"/>
    <w:rsid w:val="00A1324A"/>
    <w:rsid w:val="00A16872"/>
    <w:rsid w:val="00A22475"/>
    <w:rsid w:val="00A24386"/>
    <w:rsid w:val="00A2586D"/>
    <w:rsid w:val="00A27203"/>
    <w:rsid w:val="00A314F7"/>
    <w:rsid w:val="00A338D6"/>
    <w:rsid w:val="00A34313"/>
    <w:rsid w:val="00A349ED"/>
    <w:rsid w:val="00A410D2"/>
    <w:rsid w:val="00A41CC8"/>
    <w:rsid w:val="00A441A5"/>
    <w:rsid w:val="00A465F4"/>
    <w:rsid w:val="00A46BB7"/>
    <w:rsid w:val="00A50551"/>
    <w:rsid w:val="00A51C9B"/>
    <w:rsid w:val="00A535BF"/>
    <w:rsid w:val="00A5630E"/>
    <w:rsid w:val="00A56369"/>
    <w:rsid w:val="00A673B4"/>
    <w:rsid w:val="00A6757A"/>
    <w:rsid w:val="00A7041D"/>
    <w:rsid w:val="00A70C6B"/>
    <w:rsid w:val="00A71910"/>
    <w:rsid w:val="00A73C06"/>
    <w:rsid w:val="00A74598"/>
    <w:rsid w:val="00A74F24"/>
    <w:rsid w:val="00A75CC5"/>
    <w:rsid w:val="00A762BC"/>
    <w:rsid w:val="00A777DC"/>
    <w:rsid w:val="00A805E8"/>
    <w:rsid w:val="00A81F1C"/>
    <w:rsid w:val="00A825ED"/>
    <w:rsid w:val="00A831A3"/>
    <w:rsid w:val="00A9027B"/>
    <w:rsid w:val="00A91D4F"/>
    <w:rsid w:val="00A921B6"/>
    <w:rsid w:val="00A94316"/>
    <w:rsid w:val="00A9701C"/>
    <w:rsid w:val="00AA142F"/>
    <w:rsid w:val="00AA3304"/>
    <w:rsid w:val="00AA601C"/>
    <w:rsid w:val="00AB3C2B"/>
    <w:rsid w:val="00AB41E2"/>
    <w:rsid w:val="00AB5B40"/>
    <w:rsid w:val="00AB5C59"/>
    <w:rsid w:val="00AB758F"/>
    <w:rsid w:val="00AC0634"/>
    <w:rsid w:val="00AC17AB"/>
    <w:rsid w:val="00AC19EB"/>
    <w:rsid w:val="00AC2DC6"/>
    <w:rsid w:val="00AC3B6F"/>
    <w:rsid w:val="00AC7BCA"/>
    <w:rsid w:val="00AD009A"/>
    <w:rsid w:val="00AD38A0"/>
    <w:rsid w:val="00AD4704"/>
    <w:rsid w:val="00AD7246"/>
    <w:rsid w:val="00AE2B95"/>
    <w:rsid w:val="00AE3124"/>
    <w:rsid w:val="00AE41B1"/>
    <w:rsid w:val="00AE4703"/>
    <w:rsid w:val="00AE4FE0"/>
    <w:rsid w:val="00AE65E6"/>
    <w:rsid w:val="00AF0ABD"/>
    <w:rsid w:val="00AF1D05"/>
    <w:rsid w:val="00AF4F50"/>
    <w:rsid w:val="00AF5273"/>
    <w:rsid w:val="00AF677C"/>
    <w:rsid w:val="00AF734E"/>
    <w:rsid w:val="00B00349"/>
    <w:rsid w:val="00B014FA"/>
    <w:rsid w:val="00B026F4"/>
    <w:rsid w:val="00B03B1C"/>
    <w:rsid w:val="00B03DC5"/>
    <w:rsid w:val="00B109AB"/>
    <w:rsid w:val="00B12193"/>
    <w:rsid w:val="00B122DF"/>
    <w:rsid w:val="00B138AE"/>
    <w:rsid w:val="00B22797"/>
    <w:rsid w:val="00B22E18"/>
    <w:rsid w:val="00B23165"/>
    <w:rsid w:val="00B23956"/>
    <w:rsid w:val="00B23DE0"/>
    <w:rsid w:val="00B25822"/>
    <w:rsid w:val="00B3139D"/>
    <w:rsid w:val="00B32D0A"/>
    <w:rsid w:val="00B3535A"/>
    <w:rsid w:val="00B37A1B"/>
    <w:rsid w:val="00B37C89"/>
    <w:rsid w:val="00B4287C"/>
    <w:rsid w:val="00B4409A"/>
    <w:rsid w:val="00B447E3"/>
    <w:rsid w:val="00B513FA"/>
    <w:rsid w:val="00B52BCF"/>
    <w:rsid w:val="00B5541D"/>
    <w:rsid w:val="00B56166"/>
    <w:rsid w:val="00B562C4"/>
    <w:rsid w:val="00B565B8"/>
    <w:rsid w:val="00B60129"/>
    <w:rsid w:val="00B608B8"/>
    <w:rsid w:val="00B62534"/>
    <w:rsid w:val="00B62B5C"/>
    <w:rsid w:val="00B645E8"/>
    <w:rsid w:val="00B64C3C"/>
    <w:rsid w:val="00B65969"/>
    <w:rsid w:val="00B65EEA"/>
    <w:rsid w:val="00B668DB"/>
    <w:rsid w:val="00B66B33"/>
    <w:rsid w:val="00B70380"/>
    <w:rsid w:val="00B703D7"/>
    <w:rsid w:val="00B72717"/>
    <w:rsid w:val="00B72FC6"/>
    <w:rsid w:val="00B7369C"/>
    <w:rsid w:val="00B806CA"/>
    <w:rsid w:val="00B81019"/>
    <w:rsid w:val="00B814F5"/>
    <w:rsid w:val="00B81A53"/>
    <w:rsid w:val="00B81DB2"/>
    <w:rsid w:val="00B82C78"/>
    <w:rsid w:val="00B83A44"/>
    <w:rsid w:val="00B85EDB"/>
    <w:rsid w:val="00B868D3"/>
    <w:rsid w:val="00B86F46"/>
    <w:rsid w:val="00B93D6C"/>
    <w:rsid w:val="00BA2270"/>
    <w:rsid w:val="00BA3005"/>
    <w:rsid w:val="00BA30B7"/>
    <w:rsid w:val="00BA31CA"/>
    <w:rsid w:val="00BA6553"/>
    <w:rsid w:val="00BB119E"/>
    <w:rsid w:val="00BB1720"/>
    <w:rsid w:val="00BB2688"/>
    <w:rsid w:val="00BB56F6"/>
    <w:rsid w:val="00BB57B2"/>
    <w:rsid w:val="00BC06CA"/>
    <w:rsid w:val="00BC1AFA"/>
    <w:rsid w:val="00BC292F"/>
    <w:rsid w:val="00BC3311"/>
    <w:rsid w:val="00BC38E9"/>
    <w:rsid w:val="00BC39D6"/>
    <w:rsid w:val="00BC4130"/>
    <w:rsid w:val="00BC4155"/>
    <w:rsid w:val="00BD33F9"/>
    <w:rsid w:val="00BD60DB"/>
    <w:rsid w:val="00BE3214"/>
    <w:rsid w:val="00BE322F"/>
    <w:rsid w:val="00BE4464"/>
    <w:rsid w:val="00BE6345"/>
    <w:rsid w:val="00BE6588"/>
    <w:rsid w:val="00BF17DA"/>
    <w:rsid w:val="00C0203B"/>
    <w:rsid w:val="00C038BD"/>
    <w:rsid w:val="00C0434E"/>
    <w:rsid w:val="00C0465D"/>
    <w:rsid w:val="00C05125"/>
    <w:rsid w:val="00C06D44"/>
    <w:rsid w:val="00C07875"/>
    <w:rsid w:val="00C07E6F"/>
    <w:rsid w:val="00C1201D"/>
    <w:rsid w:val="00C17509"/>
    <w:rsid w:val="00C214F7"/>
    <w:rsid w:val="00C21F43"/>
    <w:rsid w:val="00C22D3F"/>
    <w:rsid w:val="00C2649E"/>
    <w:rsid w:val="00C26933"/>
    <w:rsid w:val="00C2709E"/>
    <w:rsid w:val="00C309EA"/>
    <w:rsid w:val="00C31AB6"/>
    <w:rsid w:val="00C33F20"/>
    <w:rsid w:val="00C3461D"/>
    <w:rsid w:val="00C34F26"/>
    <w:rsid w:val="00C34F6F"/>
    <w:rsid w:val="00C354BF"/>
    <w:rsid w:val="00C35A7D"/>
    <w:rsid w:val="00C36580"/>
    <w:rsid w:val="00C3669B"/>
    <w:rsid w:val="00C37511"/>
    <w:rsid w:val="00C42712"/>
    <w:rsid w:val="00C42859"/>
    <w:rsid w:val="00C42A53"/>
    <w:rsid w:val="00C44C6D"/>
    <w:rsid w:val="00C47D2C"/>
    <w:rsid w:val="00C50516"/>
    <w:rsid w:val="00C5329B"/>
    <w:rsid w:val="00C54D47"/>
    <w:rsid w:val="00C6040E"/>
    <w:rsid w:val="00C60A69"/>
    <w:rsid w:val="00C61BB6"/>
    <w:rsid w:val="00C626E0"/>
    <w:rsid w:val="00C62BE0"/>
    <w:rsid w:val="00C62EE6"/>
    <w:rsid w:val="00C65C27"/>
    <w:rsid w:val="00C65C77"/>
    <w:rsid w:val="00C66406"/>
    <w:rsid w:val="00C70123"/>
    <w:rsid w:val="00C70567"/>
    <w:rsid w:val="00C72BF1"/>
    <w:rsid w:val="00C76B83"/>
    <w:rsid w:val="00C801EE"/>
    <w:rsid w:val="00C818C2"/>
    <w:rsid w:val="00C81D5D"/>
    <w:rsid w:val="00C83597"/>
    <w:rsid w:val="00C8594D"/>
    <w:rsid w:val="00C87420"/>
    <w:rsid w:val="00C91029"/>
    <w:rsid w:val="00C9122A"/>
    <w:rsid w:val="00C94BCB"/>
    <w:rsid w:val="00C9673D"/>
    <w:rsid w:val="00C9725E"/>
    <w:rsid w:val="00CA0BAF"/>
    <w:rsid w:val="00CA1C25"/>
    <w:rsid w:val="00CA1C9B"/>
    <w:rsid w:val="00CA30BB"/>
    <w:rsid w:val="00CA32B1"/>
    <w:rsid w:val="00CA6DC4"/>
    <w:rsid w:val="00CA79C4"/>
    <w:rsid w:val="00CA7AF2"/>
    <w:rsid w:val="00CB3E78"/>
    <w:rsid w:val="00CB5D3A"/>
    <w:rsid w:val="00CB5E45"/>
    <w:rsid w:val="00CB6D66"/>
    <w:rsid w:val="00CC1BCB"/>
    <w:rsid w:val="00CC6411"/>
    <w:rsid w:val="00CC787C"/>
    <w:rsid w:val="00CD4B23"/>
    <w:rsid w:val="00CD772A"/>
    <w:rsid w:val="00CE01DE"/>
    <w:rsid w:val="00CE2282"/>
    <w:rsid w:val="00CE22DB"/>
    <w:rsid w:val="00CE26A7"/>
    <w:rsid w:val="00CF2407"/>
    <w:rsid w:val="00CF2C2C"/>
    <w:rsid w:val="00CF445F"/>
    <w:rsid w:val="00D00A8D"/>
    <w:rsid w:val="00D02256"/>
    <w:rsid w:val="00D03444"/>
    <w:rsid w:val="00D04D2A"/>
    <w:rsid w:val="00D055BB"/>
    <w:rsid w:val="00D06114"/>
    <w:rsid w:val="00D10D60"/>
    <w:rsid w:val="00D139B3"/>
    <w:rsid w:val="00D1743A"/>
    <w:rsid w:val="00D17FAA"/>
    <w:rsid w:val="00D200CE"/>
    <w:rsid w:val="00D24303"/>
    <w:rsid w:val="00D2527C"/>
    <w:rsid w:val="00D2628C"/>
    <w:rsid w:val="00D3299C"/>
    <w:rsid w:val="00D3377E"/>
    <w:rsid w:val="00D34143"/>
    <w:rsid w:val="00D35F43"/>
    <w:rsid w:val="00D36AF4"/>
    <w:rsid w:val="00D4028C"/>
    <w:rsid w:val="00D44523"/>
    <w:rsid w:val="00D44F01"/>
    <w:rsid w:val="00D44FFF"/>
    <w:rsid w:val="00D45FF2"/>
    <w:rsid w:val="00D466C0"/>
    <w:rsid w:val="00D51499"/>
    <w:rsid w:val="00D52909"/>
    <w:rsid w:val="00D55A55"/>
    <w:rsid w:val="00D605B0"/>
    <w:rsid w:val="00D618B6"/>
    <w:rsid w:val="00D652A7"/>
    <w:rsid w:val="00D67511"/>
    <w:rsid w:val="00D67BBE"/>
    <w:rsid w:val="00D80860"/>
    <w:rsid w:val="00D8226D"/>
    <w:rsid w:val="00D85EB7"/>
    <w:rsid w:val="00D90B0B"/>
    <w:rsid w:val="00D93B2E"/>
    <w:rsid w:val="00D93FBF"/>
    <w:rsid w:val="00D9777F"/>
    <w:rsid w:val="00DA0644"/>
    <w:rsid w:val="00DA0D8F"/>
    <w:rsid w:val="00DA240F"/>
    <w:rsid w:val="00DA2C0B"/>
    <w:rsid w:val="00DA32AE"/>
    <w:rsid w:val="00DA4B19"/>
    <w:rsid w:val="00DB02BE"/>
    <w:rsid w:val="00DB12C4"/>
    <w:rsid w:val="00DB2242"/>
    <w:rsid w:val="00DB3F6D"/>
    <w:rsid w:val="00DB4636"/>
    <w:rsid w:val="00DB5A83"/>
    <w:rsid w:val="00DC254E"/>
    <w:rsid w:val="00DC3F3D"/>
    <w:rsid w:val="00DC4439"/>
    <w:rsid w:val="00DC506F"/>
    <w:rsid w:val="00DD0602"/>
    <w:rsid w:val="00DD3F27"/>
    <w:rsid w:val="00DD71BF"/>
    <w:rsid w:val="00DD7EEF"/>
    <w:rsid w:val="00DE4D1E"/>
    <w:rsid w:val="00DF26A8"/>
    <w:rsid w:val="00DF352E"/>
    <w:rsid w:val="00DF772A"/>
    <w:rsid w:val="00E0047F"/>
    <w:rsid w:val="00E010C2"/>
    <w:rsid w:val="00E034D1"/>
    <w:rsid w:val="00E043A6"/>
    <w:rsid w:val="00E073E7"/>
    <w:rsid w:val="00E10A1F"/>
    <w:rsid w:val="00E11D43"/>
    <w:rsid w:val="00E13503"/>
    <w:rsid w:val="00E15753"/>
    <w:rsid w:val="00E163DB"/>
    <w:rsid w:val="00E1777F"/>
    <w:rsid w:val="00E218C4"/>
    <w:rsid w:val="00E24D29"/>
    <w:rsid w:val="00E2683D"/>
    <w:rsid w:val="00E27839"/>
    <w:rsid w:val="00E33414"/>
    <w:rsid w:val="00E34FFC"/>
    <w:rsid w:val="00E35356"/>
    <w:rsid w:val="00E3619B"/>
    <w:rsid w:val="00E37DD6"/>
    <w:rsid w:val="00E412D3"/>
    <w:rsid w:val="00E41F68"/>
    <w:rsid w:val="00E44304"/>
    <w:rsid w:val="00E50948"/>
    <w:rsid w:val="00E5713A"/>
    <w:rsid w:val="00E6075A"/>
    <w:rsid w:val="00E65B32"/>
    <w:rsid w:val="00E6695E"/>
    <w:rsid w:val="00E700C7"/>
    <w:rsid w:val="00E717F0"/>
    <w:rsid w:val="00E7272C"/>
    <w:rsid w:val="00E842E3"/>
    <w:rsid w:val="00E86A51"/>
    <w:rsid w:val="00E91A71"/>
    <w:rsid w:val="00E93DBE"/>
    <w:rsid w:val="00E93F68"/>
    <w:rsid w:val="00E95551"/>
    <w:rsid w:val="00E95C4D"/>
    <w:rsid w:val="00E9720D"/>
    <w:rsid w:val="00EA282F"/>
    <w:rsid w:val="00EA5A43"/>
    <w:rsid w:val="00EA5A5B"/>
    <w:rsid w:val="00EA6546"/>
    <w:rsid w:val="00EA727A"/>
    <w:rsid w:val="00EB71FE"/>
    <w:rsid w:val="00EC2051"/>
    <w:rsid w:val="00EC7586"/>
    <w:rsid w:val="00ED241F"/>
    <w:rsid w:val="00ED4691"/>
    <w:rsid w:val="00EE0232"/>
    <w:rsid w:val="00EE2357"/>
    <w:rsid w:val="00EE299C"/>
    <w:rsid w:val="00EE3D7C"/>
    <w:rsid w:val="00EE4A5B"/>
    <w:rsid w:val="00EF06F5"/>
    <w:rsid w:val="00EF752F"/>
    <w:rsid w:val="00EF7DBD"/>
    <w:rsid w:val="00EF7E8A"/>
    <w:rsid w:val="00F01DF5"/>
    <w:rsid w:val="00F01EDE"/>
    <w:rsid w:val="00F028C4"/>
    <w:rsid w:val="00F03479"/>
    <w:rsid w:val="00F03ADA"/>
    <w:rsid w:val="00F05372"/>
    <w:rsid w:val="00F13217"/>
    <w:rsid w:val="00F1325E"/>
    <w:rsid w:val="00F14329"/>
    <w:rsid w:val="00F14952"/>
    <w:rsid w:val="00F203B5"/>
    <w:rsid w:val="00F20810"/>
    <w:rsid w:val="00F252FA"/>
    <w:rsid w:val="00F2557B"/>
    <w:rsid w:val="00F256A8"/>
    <w:rsid w:val="00F25EBD"/>
    <w:rsid w:val="00F27373"/>
    <w:rsid w:val="00F27FA2"/>
    <w:rsid w:val="00F31935"/>
    <w:rsid w:val="00F34631"/>
    <w:rsid w:val="00F37CAE"/>
    <w:rsid w:val="00F447ED"/>
    <w:rsid w:val="00F44A82"/>
    <w:rsid w:val="00F507D8"/>
    <w:rsid w:val="00F56468"/>
    <w:rsid w:val="00F5796C"/>
    <w:rsid w:val="00F57E6D"/>
    <w:rsid w:val="00F616B7"/>
    <w:rsid w:val="00F64C75"/>
    <w:rsid w:val="00F66889"/>
    <w:rsid w:val="00F711AD"/>
    <w:rsid w:val="00F717B1"/>
    <w:rsid w:val="00F736D1"/>
    <w:rsid w:val="00F76B38"/>
    <w:rsid w:val="00F80C33"/>
    <w:rsid w:val="00F80EFF"/>
    <w:rsid w:val="00F82C9A"/>
    <w:rsid w:val="00F872F2"/>
    <w:rsid w:val="00F94596"/>
    <w:rsid w:val="00F94627"/>
    <w:rsid w:val="00F9799F"/>
    <w:rsid w:val="00FA0BED"/>
    <w:rsid w:val="00FA1676"/>
    <w:rsid w:val="00FA383C"/>
    <w:rsid w:val="00FB03F4"/>
    <w:rsid w:val="00FB1955"/>
    <w:rsid w:val="00FB3FE4"/>
    <w:rsid w:val="00FB6658"/>
    <w:rsid w:val="00FC2FC9"/>
    <w:rsid w:val="00FD3D07"/>
    <w:rsid w:val="00FD4235"/>
    <w:rsid w:val="00FD4FE1"/>
    <w:rsid w:val="00FD56B7"/>
    <w:rsid w:val="00FE013A"/>
    <w:rsid w:val="00FE40EA"/>
    <w:rsid w:val="00FE4D33"/>
    <w:rsid w:val="00FE7FB8"/>
    <w:rsid w:val="00FF01AA"/>
    <w:rsid w:val="00FF0347"/>
    <w:rsid w:val="00FF2003"/>
    <w:rsid w:val="00FF2553"/>
    <w:rsid w:val="00FF3B3E"/>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FAA6E"/>
  <w15:docId w15:val="{5B727139-9EB1-4285-BB07-9056E097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53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53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0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602"/>
    <w:rPr>
      <w:sz w:val="20"/>
      <w:szCs w:val="20"/>
    </w:rPr>
  </w:style>
  <w:style w:type="character" w:styleId="FootnoteReference">
    <w:name w:val="footnote reference"/>
    <w:basedOn w:val="DefaultParagraphFont"/>
    <w:uiPriority w:val="99"/>
    <w:semiHidden/>
    <w:unhideWhenUsed/>
    <w:rsid w:val="00DD0602"/>
    <w:rPr>
      <w:vertAlign w:val="superscript"/>
    </w:rPr>
  </w:style>
  <w:style w:type="paragraph" w:styleId="BalloonText">
    <w:name w:val="Balloon Text"/>
    <w:basedOn w:val="Normal"/>
    <w:link w:val="BalloonTextChar"/>
    <w:uiPriority w:val="99"/>
    <w:semiHidden/>
    <w:unhideWhenUsed/>
    <w:rsid w:val="00DD0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602"/>
    <w:rPr>
      <w:rFonts w:ascii="Tahoma" w:hAnsi="Tahoma" w:cs="Tahoma"/>
      <w:sz w:val="16"/>
      <w:szCs w:val="16"/>
    </w:rPr>
  </w:style>
  <w:style w:type="paragraph" w:styleId="Caption">
    <w:name w:val="caption"/>
    <w:basedOn w:val="Normal"/>
    <w:next w:val="Normal"/>
    <w:uiPriority w:val="35"/>
    <w:semiHidden/>
    <w:unhideWhenUsed/>
    <w:qFormat/>
    <w:rsid w:val="00A9701C"/>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B353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53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535A"/>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405066"/>
    <w:pPr>
      <w:outlineLvl w:val="9"/>
    </w:pPr>
    <w:rPr>
      <w:lang w:eastAsia="ja-JP"/>
    </w:rPr>
  </w:style>
  <w:style w:type="paragraph" w:styleId="TOC3">
    <w:name w:val="toc 3"/>
    <w:basedOn w:val="Normal"/>
    <w:next w:val="Normal"/>
    <w:autoRedefine/>
    <w:uiPriority w:val="39"/>
    <w:unhideWhenUsed/>
    <w:qFormat/>
    <w:rsid w:val="00405066"/>
    <w:pPr>
      <w:spacing w:after="100"/>
      <w:ind w:left="440"/>
    </w:pPr>
  </w:style>
  <w:style w:type="paragraph" w:styleId="TOC2">
    <w:name w:val="toc 2"/>
    <w:basedOn w:val="Normal"/>
    <w:next w:val="Normal"/>
    <w:autoRedefine/>
    <w:uiPriority w:val="39"/>
    <w:unhideWhenUsed/>
    <w:qFormat/>
    <w:rsid w:val="00405066"/>
    <w:pPr>
      <w:spacing w:after="100"/>
      <w:ind w:left="220"/>
    </w:pPr>
  </w:style>
  <w:style w:type="character" w:styleId="Hyperlink">
    <w:name w:val="Hyperlink"/>
    <w:basedOn w:val="DefaultParagraphFont"/>
    <w:uiPriority w:val="99"/>
    <w:unhideWhenUsed/>
    <w:rsid w:val="00405066"/>
    <w:rPr>
      <w:color w:val="0000FF" w:themeColor="hyperlink"/>
      <w:u w:val="single"/>
    </w:rPr>
  </w:style>
  <w:style w:type="paragraph" w:styleId="Header">
    <w:name w:val="header"/>
    <w:basedOn w:val="Normal"/>
    <w:link w:val="HeaderChar"/>
    <w:uiPriority w:val="99"/>
    <w:unhideWhenUsed/>
    <w:rsid w:val="00AF1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D05"/>
  </w:style>
  <w:style w:type="paragraph" w:styleId="Footer">
    <w:name w:val="footer"/>
    <w:basedOn w:val="Normal"/>
    <w:link w:val="FooterChar"/>
    <w:uiPriority w:val="99"/>
    <w:unhideWhenUsed/>
    <w:rsid w:val="00AF1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D05"/>
  </w:style>
  <w:style w:type="paragraph" w:styleId="TOC1">
    <w:name w:val="toc 1"/>
    <w:basedOn w:val="Normal"/>
    <w:next w:val="Normal"/>
    <w:autoRedefine/>
    <w:uiPriority w:val="39"/>
    <w:semiHidden/>
    <w:unhideWhenUsed/>
    <w:qFormat/>
    <w:rsid w:val="00861CAB"/>
    <w:pPr>
      <w:spacing w:after="100"/>
    </w:pPr>
    <w:rPr>
      <w:rFonts w:eastAsiaTheme="minorEastAsia"/>
      <w:lang w:eastAsia="ja-JP"/>
    </w:rPr>
  </w:style>
  <w:style w:type="table" w:styleId="TableGrid">
    <w:name w:val="Table Grid"/>
    <w:basedOn w:val="TableNormal"/>
    <w:uiPriority w:val="59"/>
    <w:rsid w:val="00D4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F6F"/>
    <w:pPr>
      <w:ind w:left="720"/>
      <w:contextualSpacing/>
    </w:pPr>
  </w:style>
  <w:style w:type="paragraph" w:styleId="Subtitle">
    <w:name w:val="Subtitle"/>
    <w:basedOn w:val="Normal"/>
    <w:next w:val="Normal"/>
    <w:link w:val="SubtitleChar"/>
    <w:uiPriority w:val="11"/>
    <w:qFormat/>
    <w:rsid w:val="003407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07F9"/>
    <w:rPr>
      <w:rFonts w:asciiTheme="majorHAnsi" w:eastAsiaTheme="majorEastAsia" w:hAnsiTheme="majorHAnsi" w:cstheme="majorBidi"/>
      <w:i/>
      <w:iCs/>
      <w:color w:val="4F81BD" w:themeColor="accent1"/>
      <w:spacing w:val="15"/>
      <w:sz w:val="24"/>
      <w:szCs w:val="24"/>
    </w:rPr>
  </w:style>
  <w:style w:type="table" w:styleId="ListTable6Colorful">
    <w:name w:val="List Table 6 Colorful"/>
    <w:basedOn w:val="TableNormal"/>
    <w:uiPriority w:val="51"/>
    <w:rsid w:val="00D061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5">
    <w:name w:val="Grid Table 1 Light Accent 5"/>
    <w:basedOn w:val="TableNormal"/>
    <w:uiPriority w:val="46"/>
    <w:rsid w:val="00D0611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Spacing">
    <w:name w:val="No Spacing"/>
    <w:uiPriority w:val="1"/>
    <w:qFormat/>
    <w:rsid w:val="00C8594D"/>
    <w:pPr>
      <w:spacing w:after="0" w:line="240" w:lineRule="auto"/>
    </w:pPr>
  </w:style>
  <w:style w:type="paragraph" w:styleId="BodyText">
    <w:name w:val="Body Text"/>
    <w:basedOn w:val="Normal"/>
    <w:link w:val="BodyTextChar"/>
    <w:rsid w:val="00D1743A"/>
    <w:pPr>
      <w:spacing w:after="0" w:line="240" w:lineRule="auto"/>
      <w:jc w:val="both"/>
    </w:pPr>
    <w:rPr>
      <w:rFonts w:ascii="Times New Roman" w:eastAsia="MS Mincho" w:hAnsi="Times New Roman" w:cs="Times New Roman"/>
      <w:b/>
      <w:bCs/>
      <w:sz w:val="24"/>
      <w:szCs w:val="24"/>
      <w:lang w:val="sq-AL"/>
    </w:rPr>
  </w:style>
  <w:style w:type="character" w:customStyle="1" w:styleId="BodyTextChar">
    <w:name w:val="Body Text Char"/>
    <w:basedOn w:val="DefaultParagraphFont"/>
    <w:link w:val="BodyText"/>
    <w:rsid w:val="00D1743A"/>
    <w:rPr>
      <w:rFonts w:ascii="Times New Roman" w:eastAsia="MS Mincho" w:hAnsi="Times New Roman" w:cs="Times New Roman"/>
      <w:b/>
      <w:bCs/>
      <w:sz w:val="24"/>
      <w:szCs w:val="24"/>
      <w:lang w:val="sq-AL"/>
    </w:rPr>
  </w:style>
  <w:style w:type="paragraph" w:styleId="NormalWeb">
    <w:name w:val="Normal (Web)"/>
    <w:basedOn w:val="Normal"/>
    <w:uiPriority w:val="99"/>
    <w:semiHidden/>
    <w:unhideWhenUsed/>
    <w:rsid w:val="00601A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1761">
      <w:bodyDiv w:val="1"/>
      <w:marLeft w:val="0"/>
      <w:marRight w:val="0"/>
      <w:marTop w:val="0"/>
      <w:marBottom w:val="0"/>
      <w:divBdr>
        <w:top w:val="none" w:sz="0" w:space="0" w:color="auto"/>
        <w:left w:val="none" w:sz="0" w:space="0" w:color="auto"/>
        <w:bottom w:val="none" w:sz="0" w:space="0" w:color="auto"/>
        <w:right w:val="none" w:sz="0" w:space="0" w:color="auto"/>
      </w:divBdr>
    </w:div>
    <w:div w:id="77794032">
      <w:bodyDiv w:val="1"/>
      <w:marLeft w:val="0"/>
      <w:marRight w:val="0"/>
      <w:marTop w:val="0"/>
      <w:marBottom w:val="0"/>
      <w:divBdr>
        <w:top w:val="none" w:sz="0" w:space="0" w:color="auto"/>
        <w:left w:val="none" w:sz="0" w:space="0" w:color="auto"/>
        <w:bottom w:val="none" w:sz="0" w:space="0" w:color="auto"/>
        <w:right w:val="none" w:sz="0" w:space="0" w:color="auto"/>
      </w:divBdr>
    </w:div>
    <w:div w:id="114911589">
      <w:bodyDiv w:val="1"/>
      <w:marLeft w:val="0"/>
      <w:marRight w:val="0"/>
      <w:marTop w:val="0"/>
      <w:marBottom w:val="0"/>
      <w:divBdr>
        <w:top w:val="none" w:sz="0" w:space="0" w:color="auto"/>
        <w:left w:val="none" w:sz="0" w:space="0" w:color="auto"/>
        <w:bottom w:val="none" w:sz="0" w:space="0" w:color="auto"/>
        <w:right w:val="none" w:sz="0" w:space="0" w:color="auto"/>
      </w:divBdr>
    </w:div>
    <w:div w:id="229461908">
      <w:bodyDiv w:val="1"/>
      <w:marLeft w:val="0"/>
      <w:marRight w:val="0"/>
      <w:marTop w:val="0"/>
      <w:marBottom w:val="0"/>
      <w:divBdr>
        <w:top w:val="none" w:sz="0" w:space="0" w:color="auto"/>
        <w:left w:val="none" w:sz="0" w:space="0" w:color="auto"/>
        <w:bottom w:val="none" w:sz="0" w:space="0" w:color="auto"/>
        <w:right w:val="none" w:sz="0" w:space="0" w:color="auto"/>
      </w:divBdr>
    </w:div>
    <w:div w:id="270746051">
      <w:bodyDiv w:val="1"/>
      <w:marLeft w:val="0"/>
      <w:marRight w:val="0"/>
      <w:marTop w:val="0"/>
      <w:marBottom w:val="0"/>
      <w:divBdr>
        <w:top w:val="none" w:sz="0" w:space="0" w:color="auto"/>
        <w:left w:val="none" w:sz="0" w:space="0" w:color="auto"/>
        <w:bottom w:val="none" w:sz="0" w:space="0" w:color="auto"/>
        <w:right w:val="none" w:sz="0" w:space="0" w:color="auto"/>
      </w:divBdr>
    </w:div>
    <w:div w:id="292954744">
      <w:bodyDiv w:val="1"/>
      <w:marLeft w:val="0"/>
      <w:marRight w:val="0"/>
      <w:marTop w:val="0"/>
      <w:marBottom w:val="0"/>
      <w:divBdr>
        <w:top w:val="none" w:sz="0" w:space="0" w:color="auto"/>
        <w:left w:val="none" w:sz="0" w:space="0" w:color="auto"/>
        <w:bottom w:val="none" w:sz="0" w:space="0" w:color="auto"/>
        <w:right w:val="none" w:sz="0" w:space="0" w:color="auto"/>
      </w:divBdr>
    </w:div>
    <w:div w:id="300503518">
      <w:bodyDiv w:val="1"/>
      <w:marLeft w:val="0"/>
      <w:marRight w:val="0"/>
      <w:marTop w:val="0"/>
      <w:marBottom w:val="0"/>
      <w:divBdr>
        <w:top w:val="none" w:sz="0" w:space="0" w:color="auto"/>
        <w:left w:val="none" w:sz="0" w:space="0" w:color="auto"/>
        <w:bottom w:val="none" w:sz="0" w:space="0" w:color="auto"/>
        <w:right w:val="none" w:sz="0" w:space="0" w:color="auto"/>
      </w:divBdr>
    </w:div>
    <w:div w:id="345862806">
      <w:bodyDiv w:val="1"/>
      <w:marLeft w:val="0"/>
      <w:marRight w:val="0"/>
      <w:marTop w:val="0"/>
      <w:marBottom w:val="0"/>
      <w:divBdr>
        <w:top w:val="none" w:sz="0" w:space="0" w:color="auto"/>
        <w:left w:val="none" w:sz="0" w:space="0" w:color="auto"/>
        <w:bottom w:val="none" w:sz="0" w:space="0" w:color="auto"/>
        <w:right w:val="none" w:sz="0" w:space="0" w:color="auto"/>
      </w:divBdr>
    </w:div>
    <w:div w:id="398483661">
      <w:bodyDiv w:val="1"/>
      <w:marLeft w:val="0"/>
      <w:marRight w:val="0"/>
      <w:marTop w:val="0"/>
      <w:marBottom w:val="0"/>
      <w:divBdr>
        <w:top w:val="none" w:sz="0" w:space="0" w:color="auto"/>
        <w:left w:val="none" w:sz="0" w:space="0" w:color="auto"/>
        <w:bottom w:val="none" w:sz="0" w:space="0" w:color="auto"/>
        <w:right w:val="none" w:sz="0" w:space="0" w:color="auto"/>
      </w:divBdr>
    </w:div>
    <w:div w:id="398942893">
      <w:bodyDiv w:val="1"/>
      <w:marLeft w:val="0"/>
      <w:marRight w:val="0"/>
      <w:marTop w:val="0"/>
      <w:marBottom w:val="0"/>
      <w:divBdr>
        <w:top w:val="none" w:sz="0" w:space="0" w:color="auto"/>
        <w:left w:val="none" w:sz="0" w:space="0" w:color="auto"/>
        <w:bottom w:val="none" w:sz="0" w:space="0" w:color="auto"/>
        <w:right w:val="none" w:sz="0" w:space="0" w:color="auto"/>
      </w:divBdr>
    </w:div>
    <w:div w:id="526481655">
      <w:bodyDiv w:val="1"/>
      <w:marLeft w:val="0"/>
      <w:marRight w:val="0"/>
      <w:marTop w:val="0"/>
      <w:marBottom w:val="0"/>
      <w:divBdr>
        <w:top w:val="none" w:sz="0" w:space="0" w:color="auto"/>
        <w:left w:val="none" w:sz="0" w:space="0" w:color="auto"/>
        <w:bottom w:val="none" w:sz="0" w:space="0" w:color="auto"/>
        <w:right w:val="none" w:sz="0" w:space="0" w:color="auto"/>
      </w:divBdr>
    </w:div>
    <w:div w:id="565796493">
      <w:bodyDiv w:val="1"/>
      <w:marLeft w:val="0"/>
      <w:marRight w:val="0"/>
      <w:marTop w:val="0"/>
      <w:marBottom w:val="0"/>
      <w:divBdr>
        <w:top w:val="none" w:sz="0" w:space="0" w:color="auto"/>
        <w:left w:val="none" w:sz="0" w:space="0" w:color="auto"/>
        <w:bottom w:val="none" w:sz="0" w:space="0" w:color="auto"/>
        <w:right w:val="none" w:sz="0" w:space="0" w:color="auto"/>
      </w:divBdr>
    </w:div>
    <w:div w:id="570428157">
      <w:bodyDiv w:val="1"/>
      <w:marLeft w:val="0"/>
      <w:marRight w:val="0"/>
      <w:marTop w:val="0"/>
      <w:marBottom w:val="0"/>
      <w:divBdr>
        <w:top w:val="none" w:sz="0" w:space="0" w:color="auto"/>
        <w:left w:val="none" w:sz="0" w:space="0" w:color="auto"/>
        <w:bottom w:val="none" w:sz="0" w:space="0" w:color="auto"/>
        <w:right w:val="none" w:sz="0" w:space="0" w:color="auto"/>
      </w:divBdr>
    </w:div>
    <w:div w:id="676154719">
      <w:bodyDiv w:val="1"/>
      <w:marLeft w:val="0"/>
      <w:marRight w:val="0"/>
      <w:marTop w:val="0"/>
      <w:marBottom w:val="0"/>
      <w:divBdr>
        <w:top w:val="none" w:sz="0" w:space="0" w:color="auto"/>
        <w:left w:val="none" w:sz="0" w:space="0" w:color="auto"/>
        <w:bottom w:val="none" w:sz="0" w:space="0" w:color="auto"/>
        <w:right w:val="none" w:sz="0" w:space="0" w:color="auto"/>
      </w:divBdr>
    </w:div>
    <w:div w:id="693307002">
      <w:bodyDiv w:val="1"/>
      <w:marLeft w:val="0"/>
      <w:marRight w:val="0"/>
      <w:marTop w:val="0"/>
      <w:marBottom w:val="0"/>
      <w:divBdr>
        <w:top w:val="none" w:sz="0" w:space="0" w:color="auto"/>
        <w:left w:val="none" w:sz="0" w:space="0" w:color="auto"/>
        <w:bottom w:val="none" w:sz="0" w:space="0" w:color="auto"/>
        <w:right w:val="none" w:sz="0" w:space="0" w:color="auto"/>
      </w:divBdr>
    </w:div>
    <w:div w:id="730076595">
      <w:bodyDiv w:val="1"/>
      <w:marLeft w:val="0"/>
      <w:marRight w:val="0"/>
      <w:marTop w:val="0"/>
      <w:marBottom w:val="0"/>
      <w:divBdr>
        <w:top w:val="none" w:sz="0" w:space="0" w:color="auto"/>
        <w:left w:val="none" w:sz="0" w:space="0" w:color="auto"/>
        <w:bottom w:val="none" w:sz="0" w:space="0" w:color="auto"/>
        <w:right w:val="none" w:sz="0" w:space="0" w:color="auto"/>
      </w:divBdr>
    </w:div>
    <w:div w:id="736316601">
      <w:bodyDiv w:val="1"/>
      <w:marLeft w:val="0"/>
      <w:marRight w:val="0"/>
      <w:marTop w:val="0"/>
      <w:marBottom w:val="0"/>
      <w:divBdr>
        <w:top w:val="none" w:sz="0" w:space="0" w:color="auto"/>
        <w:left w:val="none" w:sz="0" w:space="0" w:color="auto"/>
        <w:bottom w:val="none" w:sz="0" w:space="0" w:color="auto"/>
        <w:right w:val="none" w:sz="0" w:space="0" w:color="auto"/>
      </w:divBdr>
    </w:div>
    <w:div w:id="760761721">
      <w:bodyDiv w:val="1"/>
      <w:marLeft w:val="0"/>
      <w:marRight w:val="0"/>
      <w:marTop w:val="0"/>
      <w:marBottom w:val="0"/>
      <w:divBdr>
        <w:top w:val="none" w:sz="0" w:space="0" w:color="auto"/>
        <w:left w:val="none" w:sz="0" w:space="0" w:color="auto"/>
        <w:bottom w:val="none" w:sz="0" w:space="0" w:color="auto"/>
        <w:right w:val="none" w:sz="0" w:space="0" w:color="auto"/>
      </w:divBdr>
    </w:div>
    <w:div w:id="761529073">
      <w:bodyDiv w:val="1"/>
      <w:marLeft w:val="0"/>
      <w:marRight w:val="0"/>
      <w:marTop w:val="0"/>
      <w:marBottom w:val="0"/>
      <w:divBdr>
        <w:top w:val="none" w:sz="0" w:space="0" w:color="auto"/>
        <w:left w:val="none" w:sz="0" w:space="0" w:color="auto"/>
        <w:bottom w:val="none" w:sz="0" w:space="0" w:color="auto"/>
        <w:right w:val="none" w:sz="0" w:space="0" w:color="auto"/>
      </w:divBdr>
    </w:div>
    <w:div w:id="804204658">
      <w:bodyDiv w:val="1"/>
      <w:marLeft w:val="0"/>
      <w:marRight w:val="0"/>
      <w:marTop w:val="0"/>
      <w:marBottom w:val="0"/>
      <w:divBdr>
        <w:top w:val="none" w:sz="0" w:space="0" w:color="auto"/>
        <w:left w:val="none" w:sz="0" w:space="0" w:color="auto"/>
        <w:bottom w:val="none" w:sz="0" w:space="0" w:color="auto"/>
        <w:right w:val="none" w:sz="0" w:space="0" w:color="auto"/>
      </w:divBdr>
    </w:div>
    <w:div w:id="810437985">
      <w:bodyDiv w:val="1"/>
      <w:marLeft w:val="0"/>
      <w:marRight w:val="0"/>
      <w:marTop w:val="0"/>
      <w:marBottom w:val="0"/>
      <w:divBdr>
        <w:top w:val="none" w:sz="0" w:space="0" w:color="auto"/>
        <w:left w:val="none" w:sz="0" w:space="0" w:color="auto"/>
        <w:bottom w:val="none" w:sz="0" w:space="0" w:color="auto"/>
        <w:right w:val="none" w:sz="0" w:space="0" w:color="auto"/>
      </w:divBdr>
    </w:div>
    <w:div w:id="903831640">
      <w:bodyDiv w:val="1"/>
      <w:marLeft w:val="0"/>
      <w:marRight w:val="0"/>
      <w:marTop w:val="0"/>
      <w:marBottom w:val="0"/>
      <w:divBdr>
        <w:top w:val="none" w:sz="0" w:space="0" w:color="auto"/>
        <w:left w:val="none" w:sz="0" w:space="0" w:color="auto"/>
        <w:bottom w:val="none" w:sz="0" w:space="0" w:color="auto"/>
        <w:right w:val="none" w:sz="0" w:space="0" w:color="auto"/>
      </w:divBdr>
    </w:div>
    <w:div w:id="1028526186">
      <w:bodyDiv w:val="1"/>
      <w:marLeft w:val="0"/>
      <w:marRight w:val="0"/>
      <w:marTop w:val="0"/>
      <w:marBottom w:val="0"/>
      <w:divBdr>
        <w:top w:val="none" w:sz="0" w:space="0" w:color="auto"/>
        <w:left w:val="none" w:sz="0" w:space="0" w:color="auto"/>
        <w:bottom w:val="none" w:sz="0" w:space="0" w:color="auto"/>
        <w:right w:val="none" w:sz="0" w:space="0" w:color="auto"/>
      </w:divBdr>
    </w:div>
    <w:div w:id="1068185831">
      <w:bodyDiv w:val="1"/>
      <w:marLeft w:val="0"/>
      <w:marRight w:val="0"/>
      <w:marTop w:val="0"/>
      <w:marBottom w:val="0"/>
      <w:divBdr>
        <w:top w:val="none" w:sz="0" w:space="0" w:color="auto"/>
        <w:left w:val="none" w:sz="0" w:space="0" w:color="auto"/>
        <w:bottom w:val="none" w:sz="0" w:space="0" w:color="auto"/>
        <w:right w:val="none" w:sz="0" w:space="0" w:color="auto"/>
      </w:divBdr>
    </w:div>
    <w:div w:id="1090810065">
      <w:bodyDiv w:val="1"/>
      <w:marLeft w:val="0"/>
      <w:marRight w:val="0"/>
      <w:marTop w:val="0"/>
      <w:marBottom w:val="0"/>
      <w:divBdr>
        <w:top w:val="none" w:sz="0" w:space="0" w:color="auto"/>
        <w:left w:val="none" w:sz="0" w:space="0" w:color="auto"/>
        <w:bottom w:val="none" w:sz="0" w:space="0" w:color="auto"/>
        <w:right w:val="none" w:sz="0" w:space="0" w:color="auto"/>
      </w:divBdr>
    </w:div>
    <w:div w:id="1184202163">
      <w:bodyDiv w:val="1"/>
      <w:marLeft w:val="0"/>
      <w:marRight w:val="0"/>
      <w:marTop w:val="0"/>
      <w:marBottom w:val="0"/>
      <w:divBdr>
        <w:top w:val="none" w:sz="0" w:space="0" w:color="auto"/>
        <w:left w:val="none" w:sz="0" w:space="0" w:color="auto"/>
        <w:bottom w:val="none" w:sz="0" w:space="0" w:color="auto"/>
        <w:right w:val="none" w:sz="0" w:space="0" w:color="auto"/>
      </w:divBdr>
    </w:div>
    <w:div w:id="1223062990">
      <w:bodyDiv w:val="1"/>
      <w:marLeft w:val="0"/>
      <w:marRight w:val="0"/>
      <w:marTop w:val="0"/>
      <w:marBottom w:val="0"/>
      <w:divBdr>
        <w:top w:val="none" w:sz="0" w:space="0" w:color="auto"/>
        <w:left w:val="none" w:sz="0" w:space="0" w:color="auto"/>
        <w:bottom w:val="none" w:sz="0" w:space="0" w:color="auto"/>
        <w:right w:val="none" w:sz="0" w:space="0" w:color="auto"/>
      </w:divBdr>
    </w:div>
    <w:div w:id="1274899900">
      <w:bodyDiv w:val="1"/>
      <w:marLeft w:val="0"/>
      <w:marRight w:val="0"/>
      <w:marTop w:val="0"/>
      <w:marBottom w:val="0"/>
      <w:divBdr>
        <w:top w:val="none" w:sz="0" w:space="0" w:color="auto"/>
        <w:left w:val="none" w:sz="0" w:space="0" w:color="auto"/>
        <w:bottom w:val="none" w:sz="0" w:space="0" w:color="auto"/>
        <w:right w:val="none" w:sz="0" w:space="0" w:color="auto"/>
      </w:divBdr>
    </w:div>
    <w:div w:id="1287588068">
      <w:bodyDiv w:val="1"/>
      <w:marLeft w:val="0"/>
      <w:marRight w:val="0"/>
      <w:marTop w:val="0"/>
      <w:marBottom w:val="0"/>
      <w:divBdr>
        <w:top w:val="none" w:sz="0" w:space="0" w:color="auto"/>
        <w:left w:val="none" w:sz="0" w:space="0" w:color="auto"/>
        <w:bottom w:val="none" w:sz="0" w:space="0" w:color="auto"/>
        <w:right w:val="none" w:sz="0" w:space="0" w:color="auto"/>
      </w:divBdr>
    </w:div>
    <w:div w:id="1538348059">
      <w:bodyDiv w:val="1"/>
      <w:marLeft w:val="0"/>
      <w:marRight w:val="0"/>
      <w:marTop w:val="0"/>
      <w:marBottom w:val="0"/>
      <w:divBdr>
        <w:top w:val="none" w:sz="0" w:space="0" w:color="auto"/>
        <w:left w:val="none" w:sz="0" w:space="0" w:color="auto"/>
        <w:bottom w:val="none" w:sz="0" w:space="0" w:color="auto"/>
        <w:right w:val="none" w:sz="0" w:space="0" w:color="auto"/>
      </w:divBdr>
    </w:div>
    <w:div w:id="1558979105">
      <w:bodyDiv w:val="1"/>
      <w:marLeft w:val="0"/>
      <w:marRight w:val="0"/>
      <w:marTop w:val="0"/>
      <w:marBottom w:val="0"/>
      <w:divBdr>
        <w:top w:val="none" w:sz="0" w:space="0" w:color="auto"/>
        <w:left w:val="none" w:sz="0" w:space="0" w:color="auto"/>
        <w:bottom w:val="none" w:sz="0" w:space="0" w:color="auto"/>
        <w:right w:val="none" w:sz="0" w:space="0" w:color="auto"/>
      </w:divBdr>
    </w:div>
    <w:div w:id="1638293752">
      <w:bodyDiv w:val="1"/>
      <w:marLeft w:val="0"/>
      <w:marRight w:val="0"/>
      <w:marTop w:val="0"/>
      <w:marBottom w:val="0"/>
      <w:divBdr>
        <w:top w:val="none" w:sz="0" w:space="0" w:color="auto"/>
        <w:left w:val="none" w:sz="0" w:space="0" w:color="auto"/>
        <w:bottom w:val="none" w:sz="0" w:space="0" w:color="auto"/>
        <w:right w:val="none" w:sz="0" w:space="0" w:color="auto"/>
      </w:divBdr>
    </w:div>
    <w:div w:id="1668751397">
      <w:bodyDiv w:val="1"/>
      <w:marLeft w:val="0"/>
      <w:marRight w:val="0"/>
      <w:marTop w:val="0"/>
      <w:marBottom w:val="0"/>
      <w:divBdr>
        <w:top w:val="none" w:sz="0" w:space="0" w:color="auto"/>
        <w:left w:val="none" w:sz="0" w:space="0" w:color="auto"/>
        <w:bottom w:val="none" w:sz="0" w:space="0" w:color="auto"/>
        <w:right w:val="none" w:sz="0" w:space="0" w:color="auto"/>
      </w:divBdr>
    </w:div>
    <w:div w:id="1682269714">
      <w:bodyDiv w:val="1"/>
      <w:marLeft w:val="0"/>
      <w:marRight w:val="0"/>
      <w:marTop w:val="0"/>
      <w:marBottom w:val="0"/>
      <w:divBdr>
        <w:top w:val="none" w:sz="0" w:space="0" w:color="auto"/>
        <w:left w:val="none" w:sz="0" w:space="0" w:color="auto"/>
        <w:bottom w:val="none" w:sz="0" w:space="0" w:color="auto"/>
        <w:right w:val="none" w:sz="0" w:space="0" w:color="auto"/>
      </w:divBdr>
    </w:div>
    <w:div w:id="1723627437">
      <w:bodyDiv w:val="1"/>
      <w:marLeft w:val="0"/>
      <w:marRight w:val="0"/>
      <w:marTop w:val="0"/>
      <w:marBottom w:val="0"/>
      <w:divBdr>
        <w:top w:val="none" w:sz="0" w:space="0" w:color="auto"/>
        <w:left w:val="none" w:sz="0" w:space="0" w:color="auto"/>
        <w:bottom w:val="none" w:sz="0" w:space="0" w:color="auto"/>
        <w:right w:val="none" w:sz="0" w:space="0" w:color="auto"/>
      </w:divBdr>
    </w:div>
    <w:div w:id="1739132452">
      <w:bodyDiv w:val="1"/>
      <w:marLeft w:val="0"/>
      <w:marRight w:val="0"/>
      <w:marTop w:val="0"/>
      <w:marBottom w:val="0"/>
      <w:divBdr>
        <w:top w:val="none" w:sz="0" w:space="0" w:color="auto"/>
        <w:left w:val="none" w:sz="0" w:space="0" w:color="auto"/>
        <w:bottom w:val="none" w:sz="0" w:space="0" w:color="auto"/>
        <w:right w:val="none" w:sz="0" w:space="0" w:color="auto"/>
      </w:divBdr>
    </w:div>
    <w:div w:id="1785538881">
      <w:bodyDiv w:val="1"/>
      <w:marLeft w:val="0"/>
      <w:marRight w:val="0"/>
      <w:marTop w:val="0"/>
      <w:marBottom w:val="0"/>
      <w:divBdr>
        <w:top w:val="none" w:sz="0" w:space="0" w:color="auto"/>
        <w:left w:val="none" w:sz="0" w:space="0" w:color="auto"/>
        <w:bottom w:val="none" w:sz="0" w:space="0" w:color="auto"/>
        <w:right w:val="none" w:sz="0" w:space="0" w:color="auto"/>
      </w:divBdr>
    </w:div>
    <w:div w:id="1827940389">
      <w:bodyDiv w:val="1"/>
      <w:marLeft w:val="0"/>
      <w:marRight w:val="0"/>
      <w:marTop w:val="0"/>
      <w:marBottom w:val="0"/>
      <w:divBdr>
        <w:top w:val="none" w:sz="0" w:space="0" w:color="auto"/>
        <w:left w:val="none" w:sz="0" w:space="0" w:color="auto"/>
        <w:bottom w:val="none" w:sz="0" w:space="0" w:color="auto"/>
        <w:right w:val="none" w:sz="0" w:space="0" w:color="auto"/>
      </w:divBdr>
    </w:div>
    <w:div w:id="1895846902">
      <w:bodyDiv w:val="1"/>
      <w:marLeft w:val="0"/>
      <w:marRight w:val="0"/>
      <w:marTop w:val="0"/>
      <w:marBottom w:val="0"/>
      <w:divBdr>
        <w:top w:val="none" w:sz="0" w:space="0" w:color="auto"/>
        <w:left w:val="none" w:sz="0" w:space="0" w:color="auto"/>
        <w:bottom w:val="none" w:sz="0" w:space="0" w:color="auto"/>
        <w:right w:val="none" w:sz="0" w:space="0" w:color="auto"/>
      </w:divBdr>
    </w:div>
    <w:div w:id="1949385535">
      <w:bodyDiv w:val="1"/>
      <w:marLeft w:val="0"/>
      <w:marRight w:val="0"/>
      <w:marTop w:val="0"/>
      <w:marBottom w:val="0"/>
      <w:divBdr>
        <w:top w:val="none" w:sz="0" w:space="0" w:color="auto"/>
        <w:left w:val="none" w:sz="0" w:space="0" w:color="auto"/>
        <w:bottom w:val="none" w:sz="0" w:space="0" w:color="auto"/>
        <w:right w:val="none" w:sz="0" w:space="0" w:color="auto"/>
      </w:divBdr>
    </w:div>
    <w:div w:id="198469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emf"/><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B371F-0C5D-4D4A-A07E-6520E717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UrbanTechnologyy</dc:creator>
  <cp:lastModifiedBy>Antigona Maliqi</cp:lastModifiedBy>
  <cp:revision>42</cp:revision>
  <cp:lastPrinted>2026-04-14T11:27:00Z</cp:lastPrinted>
  <dcterms:created xsi:type="dcterms:W3CDTF">2026-04-10T08:46:00Z</dcterms:created>
  <dcterms:modified xsi:type="dcterms:W3CDTF">2026-04-14T12:04:00Z</dcterms:modified>
</cp:coreProperties>
</file>